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竞争性谈判文件示范文本（货物类）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val="0"/>
          <w:color w:val="auto"/>
          <w:sz w:val="44"/>
          <w:szCs w:val="44"/>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月</w:t>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99301417"/>
      <w:bookmarkStart w:id="3" w:name="_Toc18512"/>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4"/>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_Toc14792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_Toc14792 \h </w:instrText>
      </w:r>
      <w:r>
        <w:fldChar w:fldCharType="separate"/>
      </w:r>
      <w:r>
        <w:t>1</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_Toc21898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_Toc21898 \h </w:instrText>
      </w:r>
      <w:r>
        <w:fldChar w:fldCharType="separate"/>
      </w:r>
      <w:r>
        <w:t>3</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_Toc25461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_Toc25461 \h </w:instrText>
      </w:r>
      <w:r>
        <w:fldChar w:fldCharType="separate"/>
      </w:r>
      <w:r>
        <w:t>15</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_Toc20811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bookmarkStart w:id="270" w:name="_GoBack"/>
      <w:bookmarkEnd w:id="270"/>
      <w:r>
        <w:tab/>
      </w:r>
      <w:r>
        <w:fldChar w:fldCharType="begin"/>
      </w:r>
      <w:r>
        <w:instrText xml:space="preserve"> PAGEREF _Toc20811 \h </w:instrText>
      </w:r>
      <w:r>
        <w:fldChar w:fldCharType="separate"/>
      </w:r>
      <w:r>
        <w:t>17</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_Toc6738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_Toc6738 \h </w:instrText>
      </w:r>
      <w:r>
        <w:fldChar w:fldCharType="separate"/>
      </w:r>
      <w:r>
        <w:t>20</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_Toc24145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_Toc24145 \h </w:instrText>
      </w:r>
      <w:r>
        <w:fldChar w:fldCharType="separate"/>
      </w:r>
      <w:r>
        <w:t>29</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_Toc11034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_Toc11034 \h </w:instrText>
      </w:r>
      <w:r>
        <w:fldChar w:fldCharType="separate"/>
      </w:r>
      <w:r>
        <w:t>47</w:t>
      </w:r>
      <w:r>
        <w:fldChar w:fldCharType="end"/>
      </w:r>
      <w:r>
        <w:rPr>
          <w:rFonts w:asciiTheme="minorEastAsia" w:hAnsiTheme="minorEastAsia"/>
          <w:bCs/>
          <w:color w:val="auto"/>
          <w:szCs w:val="24"/>
          <w:highlight w:val="none"/>
        </w:rPr>
        <w:fldChar w:fldCharType="end"/>
      </w:r>
    </w:p>
    <w:p>
      <w:pPr>
        <w:pStyle w:val="15"/>
        <w:tabs>
          <w:tab w:val="right" w:leader="dot" w:pos="8296"/>
        </w:tabs>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4792"/>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rFonts w:ascii="宋体" w:hAnsi="宋体" w:eastAsia="宋体"/>
          <w:b/>
          <w:bCs/>
          <w:color w:val="auto"/>
          <w:sz w:val="24"/>
          <w:szCs w:val="18"/>
          <w:highlight w:val="none"/>
        </w:rPr>
      </w:pPr>
      <w:bookmarkStart w:id="5" w:name="_Toc31120"/>
      <w:bookmarkStart w:id="6" w:name="_Toc18458"/>
      <w:r>
        <w:rPr>
          <w:rFonts w:hint="eastAsia" w:ascii="宋体" w:hAnsi="宋体" w:eastAsia="宋体"/>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ascii="宋体" w:hAnsi="宋体" w:eastAsia="宋体"/>
          <w:b/>
          <w:bCs/>
          <w:color w:val="auto"/>
          <w:sz w:val="24"/>
          <w:szCs w:val="18"/>
          <w:highlight w:val="none"/>
        </w:rPr>
      </w:pPr>
      <w:bookmarkStart w:id="7" w:name="_Toc26738"/>
      <w:bookmarkStart w:id="8" w:name="_Toc25828"/>
      <w:r>
        <w:rPr>
          <w:rFonts w:hint="eastAsia" w:ascii="宋体" w:hAnsi="宋体" w:eastAsia="宋体"/>
          <w:b/>
          <w:bCs/>
          <w:color w:val="auto"/>
          <w:sz w:val="24"/>
          <w:szCs w:val="18"/>
          <w:highlight w:val="none"/>
        </w:rPr>
        <w:t>二</w:t>
      </w:r>
      <w:r>
        <w:rPr>
          <w:rFonts w:hint="eastAsia" w:asciiTheme="minorEastAsia" w:hAnsiTheme="minorEastAsia" w:eastAsiaTheme="minorEastAsia"/>
          <w:b/>
          <w:color w:val="auto"/>
          <w:sz w:val="24"/>
          <w:highlight w:val="none"/>
        </w:rPr>
        <w:t>、</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采购。即：提供的货物全部由符合政策要求的中小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小微企业制造。</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ascii="宋体" w:hAnsi="宋体" w:eastAsia="宋体"/>
          <w:b/>
          <w:bCs/>
          <w:color w:val="auto"/>
          <w:sz w:val="24"/>
          <w:szCs w:val="18"/>
          <w:highlight w:val="none"/>
        </w:rPr>
      </w:pPr>
      <w:bookmarkStart w:id="9" w:name="_Toc20109"/>
      <w:bookmarkStart w:id="10" w:name="_Toc10106"/>
      <w:r>
        <w:rPr>
          <w:rFonts w:hint="eastAsia" w:ascii="宋体" w:hAnsi="宋体" w:eastAsia="宋体"/>
          <w:b/>
          <w:bCs/>
          <w:color w:val="auto"/>
          <w:sz w:val="24"/>
          <w:szCs w:val="18"/>
          <w:highlight w:val="none"/>
        </w:rPr>
        <w:t>三</w:t>
      </w:r>
      <w:r>
        <w:rPr>
          <w:rFonts w:hint="eastAsia" w:asciiTheme="minorEastAsia" w:hAnsiTheme="minorEastAsia" w:eastAsiaTheme="minorEastAsia"/>
          <w:b/>
          <w:color w:val="auto"/>
          <w:sz w:val="24"/>
          <w:highlight w:val="none"/>
        </w:rPr>
        <w:t>、</w:t>
      </w:r>
      <w:bookmarkEnd w:id="9"/>
      <w:r>
        <w:rPr>
          <w:rFonts w:hint="eastAsia" w:asciiTheme="minorEastAsia" w:hAnsiTheme="minorEastAsia" w:eastAsiaTheme="minorEastAsia"/>
          <w:b/>
          <w:color w:val="auto"/>
          <w:sz w:val="24"/>
          <w:highlight w:val="none"/>
        </w:rPr>
        <w:t>获取采购文件</w:t>
      </w:r>
      <w:bookmarkEnd w:id="10"/>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1" w:name="_Toc19753"/>
      <w:bookmarkStart w:id="12" w:name="_Toc1095"/>
      <w:r>
        <w:rPr>
          <w:rFonts w:hint="eastAsia" w:ascii="宋体" w:hAnsi="宋体" w:eastAsia="宋体"/>
          <w:b/>
          <w:bCs/>
          <w:color w:val="auto"/>
          <w:sz w:val="24"/>
          <w:szCs w:val="18"/>
          <w:highlight w:val="none"/>
        </w:rPr>
        <w:t>四</w:t>
      </w:r>
      <w:r>
        <w:rPr>
          <w:rFonts w:hint="eastAsia" w:asciiTheme="minorEastAsia" w:hAnsiTheme="minorEastAsia" w:eastAsiaTheme="minorEastAsia"/>
          <w:b/>
          <w:color w:val="auto"/>
          <w:sz w:val="24"/>
          <w:highlight w:val="none"/>
        </w:rPr>
        <w:t>、</w:t>
      </w:r>
      <w:bookmarkEnd w:id="11"/>
      <w:r>
        <w:rPr>
          <w:rFonts w:hint="eastAsia" w:ascii="宋体" w:hAnsi="宋体" w:eastAsia="宋体"/>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从谈判文件开始发出之日起至供应商提交首次响应文件截止之日止不得少于3个工作日</w:t>
      </w:r>
      <w:r>
        <w:rPr>
          <w:rFonts w:hint="eastAsia" w:asciiTheme="minorEastAsia" w:hAnsiTheme="minorEastAsia" w:eastAsiaTheme="minorEastAsia" w:cstheme="minorEastAsia"/>
          <w:iCs/>
          <w:sz w:val="24"/>
          <w:szCs w:val="24"/>
          <w:u w:val="none"/>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3" w:name="_Toc8953"/>
      <w:bookmarkStart w:id="14" w:name="_Toc29151"/>
      <w:r>
        <w:rPr>
          <w:rFonts w:hint="eastAsia" w:ascii="宋体" w:hAnsi="宋体" w:eastAsia="宋体"/>
          <w:b/>
          <w:bCs/>
          <w:color w:val="auto"/>
          <w:sz w:val="24"/>
          <w:szCs w:val="18"/>
          <w:highlight w:val="none"/>
        </w:rPr>
        <w:t>五</w:t>
      </w:r>
      <w:r>
        <w:rPr>
          <w:rFonts w:hint="eastAsia" w:asciiTheme="minorEastAsia" w:hAnsiTheme="minorEastAsia" w:eastAsiaTheme="minorEastAsia"/>
          <w:b/>
          <w:color w:val="auto"/>
          <w:sz w:val="24"/>
          <w:highlight w:val="none"/>
        </w:rPr>
        <w:t>、</w:t>
      </w:r>
      <w:bookmarkEnd w:id="13"/>
      <w:r>
        <w:rPr>
          <w:rFonts w:hint="eastAsia" w:ascii="宋体" w:hAnsi="宋体" w:eastAsia="宋体"/>
          <w:b/>
          <w:bCs/>
          <w:color w:val="auto"/>
          <w:sz w:val="24"/>
          <w:highlight w:val="none"/>
        </w:rPr>
        <w:t>开启</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u w:val="none"/>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2060"/>
      <w:bookmarkStart w:id="16" w:name="_Toc16203"/>
      <w:r>
        <w:rPr>
          <w:rFonts w:hint="eastAsia" w:ascii="宋体" w:hAnsi="宋体" w:eastAsia="宋体"/>
          <w:b/>
          <w:bCs/>
          <w:color w:val="auto"/>
          <w:sz w:val="24"/>
          <w:szCs w:val="18"/>
          <w:highlight w:val="none"/>
          <w:lang w:val="en-US" w:eastAsia="zh-CN"/>
        </w:rPr>
        <w:t>六</w:t>
      </w:r>
      <w:r>
        <w:rPr>
          <w:rFonts w:hint="eastAsia" w:ascii="宋体" w:hAnsi="宋体" w:eastAsia="宋体"/>
          <w:b/>
          <w:bCs/>
          <w:color w:val="auto"/>
          <w:sz w:val="24"/>
          <w:szCs w:val="18"/>
          <w:highlight w:val="none"/>
        </w:rPr>
        <w:t>、公告期限</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35393626"/>
      <w:bookmarkStart w:id="18" w:name="_Toc35393795"/>
      <w:bookmarkStart w:id="19" w:name="_Toc10195"/>
      <w:r>
        <w:rPr>
          <w:rFonts w:hint="eastAsia" w:ascii="宋体" w:hAnsi="宋体" w:eastAsia="宋体"/>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b w:val="0"/>
          <w:bCs w:val="0"/>
          <w:color w:val="auto"/>
          <w:sz w:val="24"/>
          <w:szCs w:val="18"/>
          <w:highlight w:val="none"/>
          <w:lang w:val="en-US" w:eastAsia="zh-CN"/>
        </w:rPr>
      </w:pPr>
      <w:r>
        <w:rPr>
          <w:rFonts w:hint="eastAsia" w:ascii="宋体" w:hAnsi="宋体" w:eastAsia="宋体"/>
          <w:b w:val="0"/>
          <w:bCs w:val="0"/>
          <w:color w:val="auto"/>
          <w:sz w:val="24"/>
          <w:szCs w:val="18"/>
          <w:highlight w:val="none"/>
          <w:lang w:val="en-US" w:eastAsia="zh-CN"/>
        </w:rPr>
        <w:t>2.</w:t>
      </w:r>
      <w:r>
        <w:rPr>
          <w:rFonts w:hint="eastAsia" w:ascii="宋体" w:hAnsi="宋体" w:eastAsia="宋体"/>
          <w:b w:val="0"/>
          <w:bCs w:val="0"/>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ascii="宋体" w:hAnsi="宋体" w:eastAsia="宋体"/>
          <w:b/>
          <w:bCs/>
          <w:color w:val="auto"/>
          <w:sz w:val="24"/>
          <w:szCs w:val="18"/>
          <w:highlight w:val="none"/>
        </w:rPr>
      </w:pPr>
      <w:bookmarkStart w:id="20" w:name="_Toc25606"/>
      <w:r>
        <w:rPr>
          <w:rFonts w:hint="eastAsia" w:ascii="宋体" w:hAnsi="宋体" w:eastAsia="宋体"/>
          <w:b/>
          <w:bCs/>
          <w:color w:val="auto"/>
          <w:sz w:val="24"/>
          <w:szCs w:val="18"/>
          <w:highlight w:val="none"/>
          <w:lang w:val="en-US" w:eastAsia="zh-CN"/>
        </w:rPr>
        <w:t>八</w:t>
      </w:r>
      <w:r>
        <w:rPr>
          <w:rFonts w:hint="eastAsia" w:asciiTheme="minorEastAsia" w:hAnsiTheme="minorEastAsia" w:eastAsiaTheme="minorEastAsia"/>
          <w:b/>
          <w:color w:val="auto"/>
          <w:sz w:val="24"/>
          <w:highlight w:val="none"/>
        </w:rPr>
        <w:t>、</w:t>
      </w:r>
      <w:bookmarkEnd w:id="16"/>
      <w:r>
        <w:rPr>
          <w:rFonts w:hint="eastAsia" w:ascii="宋体" w:hAnsi="宋体" w:eastAsia="宋体"/>
          <w:b/>
          <w:bCs/>
          <w:color w:val="auto"/>
          <w:sz w:val="24"/>
          <w:szCs w:val="18"/>
          <w:highlight w:val="none"/>
        </w:rPr>
        <w:t>凡对本次采购提出询问，请按以下方式联系</w:t>
      </w:r>
      <w:bookmarkEnd w:id="20"/>
    </w:p>
    <w:p>
      <w:pPr>
        <w:spacing w:line="360" w:lineRule="auto"/>
        <w:ind w:firstLine="435"/>
        <w:outlineLvl w:val="2"/>
        <w:rPr>
          <w:rFonts w:ascii="宋体" w:hAnsi="宋体" w:eastAsia="宋体"/>
          <w:color w:val="auto"/>
          <w:sz w:val="24"/>
          <w:szCs w:val="18"/>
          <w:highlight w:val="none"/>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2189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28122"/>
      <w:bookmarkStart w:id="23" w:name="_Toc2575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19"/>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8"/>
        <w:gridCol w:w="2228"/>
        <w:gridCol w:w="6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60"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5.3</w:t>
            </w:r>
          </w:p>
        </w:tc>
        <w:tc>
          <w:tcPr>
            <w:tcW w:w="1160" w:type="pct"/>
            <w:vAlign w:val="center"/>
          </w:tcPr>
          <w:p>
            <w:pPr>
              <w:pStyle w:val="26"/>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p>
        </w:tc>
        <w:tc>
          <w:tcPr>
            <w:tcW w:w="326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不组织，供应商</w:t>
            </w:r>
            <w:r>
              <w:rPr>
                <w:rFonts w:hint="eastAsia" w:ascii="宋体" w:hAnsi="宋体" w:eastAsia="宋体"/>
                <w:bCs/>
                <w:color w:val="auto"/>
                <w:sz w:val="24"/>
                <w:highlight w:val="none"/>
              </w:rPr>
              <w:t>自行考察</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现场考察联系人及联系电话：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如供应商未参加采购人统一组织的现场考察，视同放弃现场考察，由此引起的一切责任由供应商自行承担。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6.1</w:t>
            </w:r>
          </w:p>
        </w:tc>
        <w:tc>
          <w:tcPr>
            <w:tcW w:w="1160" w:type="pct"/>
            <w:vAlign w:val="center"/>
          </w:tcPr>
          <w:p>
            <w:pPr>
              <w:pStyle w:val="26"/>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6"/>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w:t>
            </w:r>
            <w:r>
              <w:rPr>
                <w:rFonts w:hint="eastAsia" w:ascii="宋体" w:hAnsi="宋体" w:eastAsia="宋体"/>
                <w:b w:val="0"/>
                <w:color w:val="auto"/>
                <w:sz w:val="24"/>
                <w:highlight w:val="none"/>
              </w:rPr>
              <w:t>谈判</w:t>
            </w:r>
            <w:r>
              <w:rPr>
                <w:rFonts w:hint="eastAsia" w:ascii="宋体" w:hAnsi="宋体" w:eastAsia="宋体"/>
                <w:b w:val="0"/>
                <w:bCs w:val="0"/>
                <w:color w:val="auto"/>
                <w:sz w:val="24"/>
                <w:szCs w:val="24"/>
                <w:highlight w:val="none"/>
              </w:rPr>
              <w:t>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10</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谈判保证金</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sym w:font="Wingdings" w:char="F0FE"/>
            </w: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谈判有效期</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14</w:t>
            </w:r>
            <w:r>
              <w:rPr>
                <w:rFonts w:hint="eastAsia" w:ascii="宋体" w:hAnsi="宋体" w:eastAsia="宋体"/>
                <w:bCs/>
                <w:color w:val="auto"/>
                <w:kern w:val="2"/>
                <w:highlight w:val="none"/>
              </w:rPr>
              <w:t>.3</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sym w:font="Wingdings" w:char="F0FE"/>
            </w:r>
            <w:r>
              <w:rPr>
                <w:rFonts w:hint="eastAsia" w:ascii="宋体" w:hAnsi="宋体" w:eastAsia="宋体"/>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w:t>
            </w:r>
            <w:r>
              <w:rPr>
                <w:rFonts w:hint="eastAsia" w:ascii="宋体" w:hAnsi="宋体" w:eastAsia="宋体"/>
                <w:bCs/>
                <w:color w:val="auto"/>
                <w:kern w:val="2"/>
                <w:highlight w:val="none"/>
              </w:rPr>
              <w:t>4</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60" w:type="pct"/>
            <w:vMerge w:val="restar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确定成交候选人和成交供应商</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谈判小组推荐成交候选人的</w:t>
            </w:r>
            <w:r>
              <w:rPr>
                <w:rFonts w:ascii="宋体" w:hAnsi="宋体" w:eastAsia="宋体"/>
                <w:b w:val="0"/>
                <w:color w:val="auto"/>
                <w:sz w:val="24"/>
                <w:highlight w:val="none"/>
              </w:rPr>
              <w:t>数量</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continue"/>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□采购人委托谈判小组确定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随</w:t>
            </w:r>
            <w:r>
              <w:rPr>
                <w:rFonts w:hint="eastAsia" w:ascii="宋体" w:hAnsi="宋体" w:eastAsia="宋体"/>
                <w:b w:val="0"/>
                <w:color w:val="auto"/>
                <w:sz w:val="24"/>
                <w:highlight w:val="none"/>
                <w:lang w:val="en-US" w:eastAsia="zh-CN"/>
              </w:rPr>
              <w:t>成交</w:t>
            </w:r>
            <w:r>
              <w:rPr>
                <w:rFonts w:hint="eastAsia" w:ascii="宋体" w:hAnsi="宋体" w:eastAsia="宋体"/>
                <w:b w:val="0"/>
                <w:color w:val="auto"/>
                <w:sz w:val="24"/>
                <w:highlight w:val="none"/>
              </w:rPr>
              <w:t>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6"/>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6"/>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23</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rPr>
            </w:pPr>
            <w:r>
              <w:rPr>
                <w:rFonts w:hint="eastAsia" w:ascii="宋体" w:hAnsi="宋体" w:eastAsia="宋体" w:cs="宋体"/>
                <w:b w:val="0"/>
                <w:bCs/>
                <w:color w:val="auto"/>
                <w:sz w:val="24"/>
                <w:szCs w:val="24"/>
                <w:lang w:val="en-US" w:eastAsia="zh-CN"/>
              </w:rPr>
              <w:t>24.1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color w:val="auto"/>
                <w:sz w:val="24"/>
                <w:szCs w:val="24"/>
                <w:lang w:val="en-US" w:eastAsia="zh-CN"/>
              </w:rPr>
              <w:t>告知谈判结果的形式</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26"/>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6"/>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cs="@仿宋_GB2312"/>
                <w:b w:val="0"/>
                <w:bCs/>
                <w:color w:val="auto"/>
                <w:kern w:val="0"/>
                <w:sz w:val="24"/>
                <w:szCs w:val="28"/>
                <w:highlight w:val="yellow"/>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26"/>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其他内容</w:t>
            </w:r>
          </w:p>
        </w:tc>
        <w:tc>
          <w:tcPr>
            <w:tcW w:w="3267" w:type="pct"/>
            <w:vAlign w:val="center"/>
          </w:tcPr>
          <w:p>
            <w:pPr>
              <w:pStyle w:val="26"/>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lang w:val="en-US" w:eastAsia="zh-CN"/>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6"/>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6"/>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6"/>
              <w:widowControl w:val="0"/>
              <w:numPr>
                <w:ilvl w:val="0"/>
                <w:numId w:val="0"/>
              </w:numPr>
              <w:spacing w:before="0" w:beforeAutospacing="0" w:after="0" w:afterAutospacing="0" w:line="360" w:lineRule="auto"/>
              <w:ind w:left="0" w:leftChars="0" w:firstLine="0" w:firstLineChars="0"/>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宋体" w:hAnsi="宋体" w:eastAsia="宋体"/>
          <w:color w:val="auto"/>
          <w:sz w:val="24"/>
          <w:highlight w:val="none"/>
        </w:rPr>
      </w:pPr>
      <w:r>
        <w:rPr>
          <w:rFonts w:asciiTheme="minorEastAsia" w:hAnsiTheme="minorEastAsia" w:eastAsiaTheme="minorEastAsia"/>
          <w:b/>
          <w:color w:val="auto"/>
          <w:sz w:val="28"/>
          <w:highlight w:val="none"/>
        </w:rPr>
        <w:br w:type="page"/>
      </w:r>
      <w:bookmarkStart w:id="24" w:name="_Toc11602"/>
      <w:bookmarkStart w:id="25" w:name="_Toc19150"/>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color w:val="auto"/>
          <w:highlight w:val="none"/>
        </w:rPr>
        <w:t xml:space="preserve"> </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：是指向采购人提供货物、工程或者服务的法人、非法人组织或者自然人。</w:t>
      </w:r>
      <w:r>
        <w:rPr>
          <w:rFonts w:hint="eastAsia" w:ascii="宋体" w:hAnsi="宋体" w:eastAsia="宋体"/>
          <w:color w:val="auto"/>
          <w:sz w:val="24"/>
          <w:highlight w:val="none"/>
        </w:rPr>
        <w:t>分支机构不得参加政府采购活动，但银行、保险、石油石化、电力、电信等特殊行业除外。</w:t>
      </w:r>
      <w:bookmarkStart w:id="26" w:name="_Hlk60264251"/>
      <w:r>
        <w:rPr>
          <w:rFonts w:ascii="宋体" w:hAnsi="宋体" w:eastAsia="宋体"/>
          <w:color w:val="auto"/>
          <w:sz w:val="24"/>
          <w:highlight w:val="none"/>
        </w:rPr>
        <w:t>本项目的</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谈判</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w:t>
      </w: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所投产品为进口产品，</w:t>
      </w:r>
      <w:r>
        <w:rPr>
          <w:rFonts w:ascii="宋体" w:hAnsi="宋体" w:eastAsia="宋体"/>
          <w:color w:val="auto"/>
          <w:sz w:val="24"/>
          <w:highlight w:val="none"/>
        </w:rPr>
        <w:t>其</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lang w:val="en-US" w:eastAsia="zh-CN"/>
        </w:rPr>
        <w:t>响应</w:t>
      </w:r>
      <w:r>
        <w:rPr>
          <w:rFonts w:hint="eastAsia" w:ascii="宋体" w:hAnsi="宋体" w:eastAsia="宋体"/>
          <w:b/>
          <w:color w:val="auto"/>
          <w:sz w:val="24"/>
          <w:highlight w:val="none"/>
        </w:rPr>
        <w:t>无效</w:t>
      </w:r>
      <w:r>
        <w:rPr>
          <w:rFonts w:hint="eastAsia" w:ascii="宋体" w:hAnsi="宋体" w:eastAsia="宋体"/>
          <w:color w:val="auto"/>
          <w:sz w:val="24"/>
          <w:highlight w:val="none"/>
        </w:rPr>
        <w:t>。</w:t>
      </w:r>
    </w:p>
    <w:bookmarkEnd w:id="26"/>
    <w:p>
      <w:pPr>
        <w:spacing w:line="360" w:lineRule="auto"/>
        <w:ind w:firstLine="435"/>
        <w:rPr>
          <w:rFonts w:ascii="宋体" w:hAnsi="宋体" w:eastAsia="宋体"/>
          <w:color w:val="auto"/>
          <w:sz w:val="24"/>
          <w:highlight w:val="none"/>
        </w:rPr>
      </w:pPr>
      <w:bookmarkStart w:id="27" w:name="_Hlk60611047"/>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若竞争性谈判公告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参加谈判</w:t>
      </w:r>
      <w:r>
        <w:rPr>
          <w:rFonts w:ascii="宋体" w:hAnsi="宋体" w:eastAsia="宋体"/>
          <w:bCs/>
          <w:color w:val="auto"/>
          <w:kern w:val="0"/>
          <w:sz w:val="24"/>
          <w:szCs w:val="28"/>
          <w:highlight w:val="none"/>
        </w:rPr>
        <w:t>，对联合体规定如下：</w:t>
      </w:r>
    </w:p>
    <w:bookmarkEnd w:id="27"/>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两个以上供应商可以组成一个谈判联合体，以一个供应商的身份谈判</w:t>
      </w:r>
      <w:r>
        <w:rPr>
          <w:rFonts w:ascii="宋体" w:hAnsi="宋体" w:eastAsia="宋体"/>
          <w:color w:val="auto"/>
          <w:sz w:val="24"/>
          <w:highlight w:val="none"/>
        </w:rPr>
        <w:t>。</w:t>
      </w:r>
      <w:r>
        <w:rPr>
          <w:rFonts w:hint="eastAsia" w:ascii="宋体" w:hAnsi="宋体" w:eastAsia="宋体"/>
          <w:color w:val="auto"/>
          <w:sz w:val="24"/>
          <w:highlight w:val="none"/>
        </w:rPr>
        <w:t>联合体</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的，</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文件获取手续由联合体中任一成员单位办理均可。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谈判</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谈判</w:t>
      </w:r>
      <w:r>
        <w:rPr>
          <w:rFonts w:ascii="宋体" w:hAnsi="宋体" w:eastAsia="宋体"/>
          <w:color w:val="auto"/>
          <w:sz w:val="24"/>
          <w:highlight w:val="none"/>
        </w:rPr>
        <w:t>，否则相关</w:t>
      </w:r>
      <w:r>
        <w:rPr>
          <w:rFonts w:hint="eastAsia" w:ascii="宋体" w:hAnsi="宋体" w:eastAsia="宋体"/>
          <w:color w:val="auto"/>
          <w:sz w:val="24"/>
          <w:highlight w:val="none"/>
        </w:rPr>
        <w:t>响应文件</w:t>
      </w:r>
      <w:r>
        <w:rPr>
          <w:rFonts w:ascii="宋体" w:hAnsi="宋体" w:eastAsia="宋体"/>
          <w:color w:val="auto"/>
          <w:sz w:val="24"/>
          <w:highlight w:val="none"/>
        </w:rPr>
        <w:t>将被认定为</w:t>
      </w:r>
      <w:r>
        <w:rPr>
          <w:rFonts w:hint="eastAsia" w:ascii="宋体" w:hAnsi="宋体" w:eastAsia="宋体"/>
          <w:b/>
          <w:color w:val="auto"/>
          <w:sz w:val="24"/>
          <w:highlight w:val="none"/>
        </w:rPr>
        <w:t>响应</w:t>
      </w:r>
      <w:r>
        <w:rPr>
          <w:rFonts w:ascii="宋体" w:hAnsi="宋体" w:eastAsia="宋体"/>
          <w:b/>
          <w:color w:val="auto"/>
          <w:sz w:val="24"/>
          <w:highlight w:val="none"/>
        </w:rPr>
        <w:t>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.8对联合体参加谈判的其他资格要求见</w:t>
      </w:r>
      <w:r>
        <w:rPr>
          <w:rFonts w:hint="eastAsia" w:ascii="宋体" w:hAnsi="宋体" w:eastAsia="宋体"/>
          <w:color w:val="auto"/>
          <w:sz w:val="24"/>
          <w:highlight w:val="none"/>
        </w:rPr>
        <w:t>申请人的资格要求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4如需提供样品，对样品相关要求见采购需求，对样品的评审方法及评审标准见谈判文件第四章。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2采购人可主动或在解答供应商提出的问题时对谈判文件进行澄清或者修改。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8" w:name="_Hlk16458572"/>
      <w:r>
        <w:rPr>
          <w:rFonts w:hint="eastAsia" w:ascii="宋体" w:hAnsi="宋体" w:eastAsia="宋体"/>
          <w:color w:val="auto"/>
          <w:sz w:val="24"/>
          <w:szCs w:val="18"/>
          <w:highlight w:val="none"/>
        </w:rPr>
        <w:t>安徽省政府采购网</w:t>
      </w:r>
      <w:bookmarkEnd w:id="28"/>
      <w:r>
        <w:rPr>
          <w:rFonts w:hint="eastAsia" w:ascii="宋体" w:hAnsi="宋体" w:eastAsia="宋体"/>
          <w:color w:val="auto"/>
          <w:sz w:val="24"/>
          <w:szCs w:val="18"/>
          <w:highlight w:val="none"/>
          <w:lang w:val="en-US" w:eastAsia="zh-CN"/>
        </w:rPr>
        <w:t>以</w:t>
      </w:r>
      <w:r>
        <w:rPr>
          <w:rFonts w:hint="eastAsia" w:asciiTheme="minorEastAsia" w:hAnsiTheme="minorEastAsia" w:eastAsiaTheme="minorEastAsia"/>
          <w:color w:val="auto"/>
          <w:sz w:val="24"/>
          <w:highlight w:val="none"/>
        </w:rPr>
        <w:t>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val="0"/>
          <w:iCs/>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谈判，</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7.2供应商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谈判</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无论谈判文件中是否要求，供应商所投货物及伴随的服务和工程均应符合国家强制性标准。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8</w:t>
      </w:r>
      <w:r>
        <w:rPr>
          <w:rFonts w:ascii="宋体" w:hAnsi="宋体" w:eastAsia="宋体"/>
          <w:color w:val="auto"/>
          <w:sz w:val="24"/>
          <w:highlight w:val="none"/>
        </w:rPr>
        <w:t>.1供应商应完整地按谈判文件提供的响应文件格式及要求编写响应文件，具体内容详见</w:t>
      </w:r>
      <w:r>
        <w:rPr>
          <w:rFonts w:hint="eastAsia" w:ascii="宋体" w:hAnsi="宋体" w:eastAsia="宋体"/>
          <w:color w:val="auto"/>
          <w:sz w:val="24"/>
          <w:highlight w:val="none"/>
          <w:lang w:val="en-US" w:eastAsia="zh-CN"/>
        </w:rPr>
        <w:t>本项目</w:t>
      </w:r>
      <w:r>
        <w:rPr>
          <w:rFonts w:ascii="宋体" w:hAnsi="宋体" w:eastAsia="宋体"/>
          <w:color w:val="auto"/>
          <w:sz w:val="24"/>
          <w:highlight w:val="none"/>
        </w:rPr>
        <w:t>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9" w:name="_Hlk11703583"/>
      <w:r>
        <w:rPr>
          <w:rFonts w:hint="eastAsia" w:asciiTheme="minorEastAsia" w:hAnsiTheme="minorEastAsia" w:eastAsiaTheme="minorEastAsia"/>
          <w:color w:val="auto"/>
          <w:sz w:val="24"/>
          <w:highlight w:val="none"/>
        </w:rPr>
        <w:t>。</w:t>
      </w:r>
    </w:p>
    <w:bookmarkEnd w:id="2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除谈判文件另有规定外，</w:t>
      </w:r>
      <w:r>
        <w:rPr>
          <w:rFonts w:hint="eastAsia" w:asciiTheme="minorEastAsia" w:hAnsiTheme="minorEastAsia" w:eastAsiaTheme="minorEastAsia"/>
          <w:color w:val="auto"/>
          <w:sz w:val="24"/>
          <w:highlight w:val="none"/>
        </w:rPr>
        <w:t>所有内容均应以人民币报价，供应商的谈判报价应遵守《中华人民共和国价格法》。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除非谈判文件另有规定或经采购人同意支付的，最后报价均不得高于谈判文件（公告）列明的项目预算，否则其响应文件将被认定为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.3谈判小组应当从质量和服务均能满足谈判文件实质性响应要求的供应商中，按照评审办法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成交候选人，并编写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规定的时间和地点组织谈判。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2竞争性谈判采用最低评标价法评审。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最低评标价法，是指响应文件满足谈判文件全部实质性要求且最后报价最低的供应商为成交候选人的评标方法。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.3谈判小组将按照谈判文件规定的评审方法和标准对供应商独立进行评审。评审程序如下：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.3.1初审。谈判小组对供应商必须满足和实质性响应的内容进行评审，供应商未实质性响应谈判文件要求导致响应无效的，谈判小组将以书面询标的方式告知有关供应商。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.3.2谈判。初审合格后，谈判小组将按网上加密电子响应文件提交顺序集中与单一供应商分别进行谈判，并给予所有参加谈判的供应商平等的谈判机会。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0" w:name="_Hlk6061112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p>
    <w:bookmarkEnd w:id="30"/>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.1如一个分包内只有一种产品，不同供应商所投产品为同一品牌同一型号的，提供相同品牌</w:t>
      </w:r>
      <w:r>
        <w:rPr>
          <w:rFonts w:hint="eastAsia" w:ascii="宋体" w:hAnsi="宋体" w:eastAsia="宋体"/>
          <w:color w:val="auto"/>
          <w:sz w:val="24"/>
          <w:highlight w:val="none"/>
        </w:rPr>
        <w:t>相同型号</w:t>
      </w:r>
      <w:r>
        <w:rPr>
          <w:rFonts w:hint="eastAsia" w:asciiTheme="minorEastAsia" w:hAnsiTheme="minorEastAsia" w:eastAsiaTheme="minorEastAsia"/>
          <w:color w:val="auto"/>
          <w:sz w:val="24"/>
          <w:highlight w:val="none"/>
        </w:rPr>
        <w:t>产品的不同供应商，以其通过初审且最后报价最低的供应商获得成交候选人推荐资格；最后报价相同的，则所投产品为节能产品、环境标志产品、不发达地区或少数民族地区产品者优先；最后报价相同且所投产品同为节能产品、环境标志产品、不发达地区或少数民族地区产品的，则由谈判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18.1</w:t>
      </w:r>
      <w:r>
        <w:rPr>
          <w:rFonts w:hint="eastAsia" w:asciiTheme="minorEastAsia" w:hAnsiTheme="minorEastAsia" w:eastAsiaTheme="minorEastAsia"/>
          <w:color w:val="auto"/>
          <w:sz w:val="24"/>
          <w:highlight w:val="none"/>
        </w:rPr>
        <w:t>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按照最后报价由低到高的顺序依次推荐成交候选人。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70" w:firstLineChars="196"/>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hint="eastAsia" w:ascii="宋体" w:hAnsi="宋体" w:eastAsia="宋体"/>
          <w:color w:val="auto"/>
          <w:sz w:val="24"/>
          <w:highlight w:val="none"/>
        </w:rPr>
        <w:t>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确定成交候选人，并标明排列顺序。排名第一的成交候选人经采购人或采购人授权的谈判小组确定为成交供应商后，由</w:t>
      </w:r>
      <w:r>
        <w:rPr>
          <w:rFonts w:asciiTheme="minorEastAsia" w:hAnsiTheme="minorEastAsia" w:eastAsiaTheme="minorEastAsia"/>
          <w:color w:val="auto"/>
          <w:sz w:val="24"/>
          <w:highlight w:val="none"/>
        </w:rPr>
        <w:t>采购代理机构</w:t>
      </w:r>
      <w:r>
        <w:rPr>
          <w:rFonts w:hint="eastAsia" w:ascii="宋体" w:hAnsi="宋体" w:eastAsia="宋体"/>
          <w:color w:val="auto"/>
          <w:sz w:val="24"/>
          <w:highlight w:val="none"/>
        </w:rPr>
        <w:t>在指定媒体上予以公告。</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ascii="宋体" w:hAnsi="宋体" w:eastAsia="宋体"/>
          <w:b/>
          <w:color w:val="auto"/>
          <w:sz w:val="24"/>
          <w:highlight w:val="none"/>
        </w:rPr>
        <w:t>2</w:t>
      </w:r>
      <w:r>
        <w:rPr>
          <w:rFonts w:hint="eastAsia" w:ascii="宋体" w:hAnsi="宋体" w:eastAsia="宋体"/>
          <w:b/>
          <w:color w:val="auto"/>
          <w:sz w:val="24"/>
          <w:highlight w:val="none"/>
          <w:lang w:val="en-US" w:eastAsia="zh-CN"/>
        </w:rPr>
        <w:t>3</w:t>
      </w:r>
      <w:r>
        <w:rPr>
          <w:rFonts w:ascii="宋体" w:hAnsi="宋体" w:eastAsia="宋体"/>
          <w:b/>
          <w:color w:val="auto"/>
          <w:sz w:val="24"/>
          <w:highlight w:val="none"/>
        </w:rPr>
        <w:t>.成交通知书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rPr>
        <w:t>2</w:t>
      </w:r>
      <w:r>
        <w:rPr>
          <w:rFonts w:hint="eastAsia" w:ascii="宋体" w:hAnsi="宋体" w:eastAsia="宋体"/>
          <w:b/>
          <w:color w:val="auto"/>
          <w:sz w:val="24"/>
          <w:highlight w:val="none"/>
          <w:lang w:val="en-US" w:eastAsia="zh-CN"/>
        </w:rPr>
        <w:t>4</w:t>
      </w:r>
      <w:r>
        <w:rPr>
          <w:rFonts w:ascii="宋体" w:hAnsi="宋体" w:eastAsia="宋体"/>
          <w:b/>
          <w:color w:val="auto"/>
          <w:sz w:val="24"/>
          <w:highlight w:val="none"/>
        </w:rPr>
        <w:t>.告知</w:t>
      </w:r>
      <w:r>
        <w:rPr>
          <w:rFonts w:hint="eastAsia" w:ascii="宋体" w:hAnsi="宋体" w:eastAsia="宋体"/>
          <w:b/>
          <w:color w:val="auto"/>
          <w:sz w:val="24"/>
          <w:highlight w:val="none"/>
        </w:rPr>
        <w:t>谈判</w:t>
      </w:r>
      <w:r>
        <w:rPr>
          <w:rFonts w:ascii="宋体" w:hAnsi="宋体" w:eastAsia="宋体"/>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宋体" w:hAnsi="宋体" w:eastAsia="宋体"/>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.2如果成交供应商没有按照上述履约保证金的规定执行，将视为放弃成交资格。在此情况下，采购人可确定下一成交候选人为成交供应商，也可以重新开展采购活动。</w:t>
      </w:r>
    </w:p>
    <w:p>
      <w:pPr>
        <w:spacing w:line="360" w:lineRule="auto"/>
        <w:ind w:firstLine="437"/>
        <w:outlineLvl w:val="2"/>
        <w:rPr>
          <w:rFonts w:hint="eastAsia" w:ascii="宋体" w:hAnsi="宋体" w:eastAsia="宋体"/>
          <w:b/>
          <w:color w:val="auto"/>
          <w:sz w:val="24"/>
          <w:highlight w:val="none"/>
          <w:lang w:eastAsia="zh-CN"/>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.2谈判文件、成交供应商的响应文件及其澄清文件等，均为签订合同的依据。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成交供应商拒绝与采购人签订合同的，采购人可以按照评审报告推荐的成交候选人名单排序，确定下一成交候选人为成交供应商，也可以重新开展采购活动。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35"/>
        <w:rPr>
          <w:rFonts w:ascii="宋体" w:hAnsi="宋体" w:eastAsia="宋体"/>
          <w:color w:val="auto"/>
          <w:sz w:val="24"/>
          <w:highlight w:val="none"/>
        </w:rPr>
      </w:pPr>
      <w:bookmarkStart w:id="31"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31"/>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.廉洁自律规定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.需要补充的其他内容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2" w:name="_Toc25461"/>
      <w:r>
        <w:rPr>
          <w:rFonts w:hint="eastAsia" w:asciiTheme="minorEastAsia" w:hAnsiTheme="minorEastAsia" w:eastAsiaTheme="minorEastAsia"/>
          <w:b/>
          <w:color w:val="auto"/>
          <w:sz w:val="28"/>
          <w:highlight w:val="none"/>
        </w:rPr>
        <w:t>第三章  采购需求</w:t>
      </w:r>
      <w:bookmarkEnd w:id="32"/>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谈判</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yellow"/>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3" w:name="_Toc20480"/>
      <w:bookmarkStart w:id="34" w:name="_Toc26457"/>
      <w:r>
        <w:rPr>
          <w:rFonts w:hint="eastAsia" w:ascii="宋体" w:hAnsi="宋体" w:eastAsia="宋体"/>
          <w:b/>
          <w:color w:val="auto"/>
          <w:sz w:val="24"/>
          <w:szCs w:val="18"/>
          <w:highlight w:val="none"/>
        </w:rPr>
        <w:t>一、采购需求前附表</w:t>
      </w:r>
      <w:bookmarkEnd w:id="33"/>
      <w:bookmarkEnd w:id="34"/>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6"/>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6"/>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26"/>
              <w:widowControl w:val="0"/>
              <w:spacing w:before="0" w:beforeAutospacing="0" w:after="0" w:afterAutospacing="0" w:line="360" w:lineRule="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c>
          <w:tcPr>
            <w:tcW w:w="3216"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5" w:name="_Toc25805"/>
      <w:bookmarkStart w:id="36" w:name="_Toc8981"/>
      <w:r>
        <w:rPr>
          <w:rFonts w:hint="eastAsia" w:ascii="宋体" w:hAnsi="宋体" w:eastAsia="宋体"/>
          <w:b/>
          <w:bCs/>
          <w:color w:val="auto"/>
          <w:sz w:val="24"/>
          <w:szCs w:val="18"/>
          <w:highlight w:val="none"/>
        </w:rPr>
        <w:t>二、货物需求</w:t>
      </w:r>
      <w:bookmarkEnd w:id="35"/>
      <w:bookmarkEnd w:id="36"/>
    </w:p>
    <w:tbl>
      <w:tblPr>
        <w:tblStyle w:val="1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1381"/>
        <w:gridCol w:w="3177"/>
        <w:gridCol w:w="1121"/>
        <w:gridCol w:w="787"/>
        <w:gridCol w:w="1243"/>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3"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73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17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6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421"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665"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7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37" w:name="_Toc16712"/>
      <w:bookmarkStart w:id="38" w:name="_Toc18135"/>
      <w:r>
        <w:rPr>
          <w:rFonts w:hint="eastAsia" w:ascii="宋体" w:hAnsi="宋体" w:eastAsia="宋体"/>
          <w:b/>
          <w:bCs/>
          <w:color w:val="auto"/>
          <w:sz w:val="24"/>
          <w:szCs w:val="18"/>
          <w:highlight w:val="none"/>
        </w:rPr>
        <w:t>三、报价要求</w:t>
      </w:r>
      <w:bookmarkEnd w:id="37"/>
      <w:bookmarkEnd w:id="38"/>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39" w:name="_Toc18721"/>
      <w:bookmarkStart w:id="40" w:name="_Toc3878"/>
      <w:r>
        <w:rPr>
          <w:rFonts w:hint="eastAsia" w:ascii="宋体" w:hAnsi="宋体" w:eastAsia="宋体"/>
          <w:b/>
          <w:bCs/>
          <w:color w:val="auto"/>
          <w:sz w:val="24"/>
          <w:szCs w:val="18"/>
          <w:highlight w:val="none"/>
        </w:rPr>
        <w:t>四、其他要求</w:t>
      </w:r>
      <w:bookmarkEnd w:id="39"/>
      <w:bookmarkEnd w:id="40"/>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1" w:name="_Toc20462"/>
      <w:bookmarkStart w:id="42" w:name="_Toc12838"/>
      <w:r>
        <w:rPr>
          <w:rFonts w:hint="eastAsia" w:ascii="宋体" w:hAnsi="宋体" w:eastAsia="宋体"/>
          <w:b/>
          <w:bCs/>
          <w:color w:val="auto"/>
          <w:sz w:val="24"/>
          <w:szCs w:val="18"/>
          <w:highlight w:val="none"/>
        </w:rPr>
        <w:t>五、样品要求</w:t>
      </w:r>
      <w:bookmarkEnd w:id="41"/>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42"/>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yellow"/>
        </w:rPr>
      </w:pPr>
      <w:bookmarkStart w:id="43" w:name="_Toc20811"/>
      <w:r>
        <w:rPr>
          <w:rFonts w:hint="eastAsia" w:asciiTheme="minorEastAsia" w:hAnsiTheme="minorEastAsia" w:eastAsiaTheme="minorEastAsia"/>
          <w:b/>
          <w:color w:val="auto"/>
          <w:sz w:val="28"/>
          <w:highlight w:val="none"/>
        </w:rPr>
        <w:t>第四章  评审方法和标准</w:t>
      </w:r>
      <w:bookmarkEnd w:id="43"/>
    </w:p>
    <w:p>
      <w:pPr>
        <w:spacing w:line="360" w:lineRule="auto"/>
        <w:ind w:firstLine="437"/>
        <w:outlineLvl w:val="1"/>
        <w:rPr>
          <w:rFonts w:asciiTheme="minorEastAsia" w:hAnsiTheme="minorEastAsia" w:eastAsiaTheme="minorEastAsia"/>
          <w:b/>
          <w:color w:val="auto"/>
          <w:sz w:val="24"/>
          <w:highlight w:val="none"/>
        </w:rPr>
      </w:pPr>
      <w:bookmarkStart w:id="44" w:name="_Toc5230"/>
      <w:bookmarkStart w:id="45" w:name="_Toc10142"/>
      <w:r>
        <w:rPr>
          <w:rFonts w:hint="eastAsia" w:asciiTheme="minorEastAsia" w:hAnsiTheme="minorEastAsia" w:eastAsiaTheme="minorEastAsia"/>
          <w:b/>
          <w:color w:val="auto"/>
          <w:sz w:val="24"/>
          <w:highlight w:val="none"/>
        </w:rPr>
        <w:t>一、总则</w:t>
      </w:r>
      <w:bookmarkEnd w:id="44"/>
      <w:bookmarkEnd w:id="4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6" w:name="_Toc30817"/>
      <w:bookmarkStart w:id="47" w:name="_Toc25812"/>
      <w:r>
        <w:rPr>
          <w:rFonts w:hint="eastAsia" w:asciiTheme="minorEastAsia" w:hAnsiTheme="minorEastAsia" w:eastAsiaTheme="minorEastAsia"/>
          <w:b/>
          <w:color w:val="auto"/>
          <w:sz w:val="24"/>
          <w:highlight w:val="none"/>
        </w:rPr>
        <w:t>二、评审方法</w:t>
      </w:r>
      <w:bookmarkEnd w:id="46"/>
      <w:bookmarkEnd w:id="47"/>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谈判小组对供应商的响应文件进行初审，以确定其是否满足谈判文件的实质性要求。初审表如下：</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05"/>
        <w:gridCol w:w="4841"/>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8" w:name="_Hlk60612144"/>
            <w:r>
              <w:rPr>
                <w:rFonts w:hint="eastAsia" w:ascii="宋体" w:hAnsi="宋体" w:eastAsia="宋体"/>
                <w:b/>
                <w:color w:val="auto"/>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2" w:type="pct"/>
            <w:tcBorders>
              <w:bottom w:val="single" w:color="auto" w:sz="4" w:space="0"/>
            </w:tcBorders>
            <w:vAlign w:val="center"/>
          </w:tcPr>
          <w:p>
            <w:pPr>
              <w:pStyle w:val="27"/>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9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5" w:hRule="atLeast"/>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90"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2"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谈判</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2"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90"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2"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90"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2"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4</w:t>
            </w:r>
          </w:p>
        </w:tc>
        <w:tc>
          <w:tcPr>
            <w:tcW w:w="91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08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5</w:t>
            </w:r>
          </w:p>
        </w:tc>
        <w:tc>
          <w:tcPr>
            <w:tcW w:w="912" w:type="pct"/>
            <w:tcBorders>
              <w:bottom w:val="single" w:color="auto" w:sz="4" w:space="0"/>
            </w:tcBorders>
            <w:vAlign w:val="top"/>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82"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6</w:t>
            </w:r>
          </w:p>
        </w:tc>
        <w:tc>
          <w:tcPr>
            <w:tcW w:w="912"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90"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082" w:type="pct"/>
            <w:vAlign w:val="center"/>
          </w:tcPr>
          <w:p>
            <w:pPr>
              <w:spacing w:after="50" w:line="360" w:lineRule="auto"/>
              <w:ind w:right="-10" w:rightChars="0"/>
              <w:jc w:val="both"/>
              <w:rPr>
                <w:rFonts w:hint="eastAsia"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912" w:type="pct"/>
            <w:vAlign w:val="center"/>
          </w:tcPr>
          <w:p>
            <w:pPr>
              <w:spacing w:after="50" w:line="360" w:lineRule="auto"/>
              <w:ind w:right="-10" w:rightChars="0"/>
              <w:jc w:val="both"/>
              <w:rPr>
                <w:rFonts w:hint="eastAsia" w:ascii="宋体" w:hAnsi="宋体" w:eastAsia="宋体" w:cs="宋体"/>
                <w:spacing w:val="10"/>
                <w:kern w:val="2"/>
                <w:sz w:val="24"/>
                <w:szCs w:val="24"/>
                <w:lang w:val="en-US" w:eastAsia="zh-CN" w:bidi="ar-SA"/>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590" w:type="pct"/>
            <w:vAlign w:val="center"/>
          </w:tcPr>
          <w:p>
            <w:pPr>
              <w:spacing w:after="50" w:line="360" w:lineRule="auto"/>
              <w:ind w:right="-10" w:rightChars="0"/>
              <w:jc w:val="both"/>
              <w:rPr>
                <w:rFonts w:ascii="宋体" w:hAnsi="宋体" w:eastAsia="宋体" w:cs="宋体"/>
                <w:spacing w:val="-2"/>
                <w:kern w:val="2"/>
                <w:sz w:val="24"/>
                <w:szCs w:val="24"/>
                <w:lang w:val="en-US" w:eastAsia="zh-CN" w:bidi="ar-SA"/>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82" w:type="pct"/>
            <w:vAlign w:val="center"/>
          </w:tcPr>
          <w:p>
            <w:pPr>
              <w:spacing w:after="50" w:line="360" w:lineRule="auto"/>
              <w:ind w:right="-10" w:rightChars="0"/>
              <w:jc w:val="both"/>
              <w:rPr>
                <w:rFonts w:hint="eastAsia" w:ascii="宋体" w:hAnsi="宋体" w:eastAsia="宋体" w:cs="宋体"/>
                <w:b w:val="0"/>
                <w:bCs w:val="0"/>
                <w:color w:val="auto"/>
                <w:kern w:val="2"/>
                <w:sz w:val="24"/>
                <w:szCs w:val="24"/>
                <w:highlight w:val="none"/>
                <w:lang w:val="en-US" w:eastAsia="zh-CN" w:bidi="ar-SA"/>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91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其他特定资格要求</w:t>
            </w:r>
          </w:p>
        </w:tc>
        <w:tc>
          <w:tcPr>
            <w:tcW w:w="2590"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08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谈判响应</w:t>
            </w:r>
            <w:r>
              <w:rPr>
                <w:rFonts w:hint="eastAsia" w:asciiTheme="minorEastAsia" w:hAnsiTheme="minorEastAsia" w:eastAsiaTheme="minorEastAsia"/>
                <w:color w:val="auto"/>
                <w:sz w:val="24"/>
                <w:szCs w:val="28"/>
                <w:highlight w:val="none"/>
              </w:rPr>
              <w:t>函</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10</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11</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12</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文件采购需求中对付款方式、供货及安装期限、供货及安装地点、免费质保期的要求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13</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文件采购需求中货物技术参数及要求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14</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文件列明的其他要求</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8"/>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49" w:name="_Toc35525217"/>
      <w:bookmarkStart w:id="50" w:name="_Toc6738"/>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9"/>
      <w:bookmarkEnd w:id="50"/>
    </w:p>
    <w:p>
      <w:pPr>
        <w:spacing w:line="480" w:lineRule="auto"/>
        <w:jc w:val="center"/>
        <w:outlineLvl w:val="1"/>
        <w:rPr>
          <w:rFonts w:asciiTheme="minorEastAsia" w:hAnsiTheme="minorEastAsia" w:eastAsiaTheme="minorEastAsia"/>
          <w:b/>
          <w:sz w:val="32"/>
          <w:szCs w:val="32"/>
        </w:rPr>
      </w:pPr>
      <w:bookmarkStart w:id="51" w:name="_Toc26982"/>
      <w:bookmarkStart w:id="52" w:name="_Hlk11711914"/>
      <w:r>
        <w:rPr>
          <w:rFonts w:asciiTheme="minorEastAsia" w:hAnsiTheme="minorEastAsia" w:eastAsiaTheme="minorEastAsia"/>
          <w:b/>
          <w:sz w:val="32"/>
          <w:szCs w:val="32"/>
        </w:rPr>
        <w:t>政府采购合同</w:t>
      </w:r>
      <w:r>
        <w:rPr>
          <w:rFonts w:hint="eastAsia" w:asciiTheme="minorEastAsia" w:hAnsiTheme="minorEastAsia" w:eastAsiaTheme="minorEastAsia"/>
          <w:b/>
          <w:sz w:val="32"/>
          <w:szCs w:val="32"/>
        </w:rPr>
        <w:t>参考范本</w:t>
      </w:r>
      <w:bookmarkEnd w:id="51"/>
    </w:p>
    <w:p>
      <w:pPr>
        <w:spacing w:line="480" w:lineRule="auto"/>
        <w:jc w:val="center"/>
        <w:outlineLvl w:val="1"/>
        <w:rPr>
          <w:rFonts w:asciiTheme="minorEastAsia" w:hAnsiTheme="minorEastAsia" w:eastAsiaTheme="minorEastAsia"/>
          <w:b/>
          <w:sz w:val="32"/>
          <w:szCs w:val="32"/>
        </w:rPr>
      </w:pPr>
      <w:bookmarkStart w:id="53" w:name="_Toc18610"/>
      <w:r>
        <w:rPr>
          <w:rFonts w:hint="eastAsia" w:asciiTheme="minorEastAsia" w:hAnsiTheme="minorEastAsia" w:eastAsiaTheme="minorEastAsia"/>
          <w:b/>
          <w:sz w:val="32"/>
          <w:szCs w:val="32"/>
        </w:rPr>
        <w:t>（货物类）</w:t>
      </w:r>
      <w:bookmarkEnd w:id="53"/>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360" w:lineRule="auto"/>
        <w:jc w:val="center"/>
        <w:outlineLvl w:val="1"/>
        <w:rPr>
          <w:rFonts w:asciiTheme="minorEastAsia" w:hAnsiTheme="minorEastAsia" w:eastAsiaTheme="minorEastAsia"/>
          <w:b/>
          <w:sz w:val="24"/>
        </w:rPr>
      </w:pPr>
      <w:bookmarkStart w:id="54" w:name="_Toc13221"/>
      <w:r>
        <w:rPr>
          <w:rFonts w:hint="eastAsia" w:asciiTheme="minorEastAsia" w:hAnsiTheme="minorEastAsia" w:eastAsiaTheme="minorEastAsia"/>
          <w:b/>
          <w:sz w:val="24"/>
        </w:rPr>
        <w:t>第一部分 合同书</w:t>
      </w:r>
      <w:bookmarkEnd w:id="54"/>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项目名称：</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i/>
          <w:iCs/>
          <w:sz w:val="24"/>
        </w:rPr>
        <w:t>（分包项目须填写完整的分包号及分包名称）</w:t>
      </w:r>
    </w:p>
    <w:p>
      <w:pPr>
        <w:spacing w:before="120" w:line="480" w:lineRule="auto"/>
        <w:ind w:left="960"/>
        <w:rPr>
          <w:rFonts w:asciiTheme="minorEastAsia" w:hAnsiTheme="minorEastAsia" w:eastAsiaTheme="minorEastAsia"/>
          <w:sz w:val="24"/>
        </w:rPr>
      </w:pPr>
      <w:r>
        <w:rPr>
          <w:rFonts w:hint="eastAsia" w:asciiTheme="minorEastAsia" w:hAnsiTheme="minorEastAsia" w:eastAsiaTheme="minorEastAsia"/>
          <w:sz w:val="24"/>
        </w:rPr>
        <w:t>项目编号：</w:t>
      </w:r>
      <w:r>
        <w:rPr>
          <w:rFonts w:hint="eastAsia" w:asciiTheme="minorEastAsia" w:hAnsiTheme="minorEastAsia" w:eastAsiaTheme="minorEastAsia"/>
          <w:sz w:val="24"/>
          <w:u w:val="single"/>
          <w:lang w:val="en-US" w:eastAsia="zh-CN"/>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甲方（采购人）：</w:t>
      </w:r>
      <w:r>
        <w:rPr>
          <w:rFonts w:hint="eastAsia" w:asciiTheme="minorEastAsia" w:hAnsiTheme="minorEastAsia" w:eastAsiaTheme="minorEastAsia"/>
          <w:sz w:val="24"/>
          <w:u w:val="single"/>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乙方（成交供应商）：</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u w:val="single"/>
        </w:rPr>
      </w:pPr>
      <w:r>
        <w:rPr>
          <w:rFonts w:hint="eastAsia" w:asciiTheme="minorEastAsia" w:hAnsiTheme="minorEastAsia" w:eastAsiaTheme="minorEastAsia"/>
          <w:sz w:val="24"/>
        </w:rPr>
        <w:t>签订地：</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以下简称：甲方</w:t>
      </w:r>
      <w:r>
        <w:rPr>
          <w:rFonts w:hint="eastAsia" w:asciiTheme="minorEastAsia" w:hAnsiTheme="minorEastAsia" w:eastAsiaTheme="minorEastAsia"/>
          <w:sz w:val="24"/>
        </w:rPr>
        <w:t>）通过</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组织的</w:t>
      </w:r>
      <w:r>
        <w:rPr>
          <w:rFonts w:hint="eastAsia" w:asciiTheme="minorEastAsia" w:hAnsiTheme="minorEastAsia" w:eastAsiaTheme="minorEastAsia"/>
          <w:sz w:val="24"/>
          <w:u w:val="none"/>
        </w:rPr>
        <w:t>竞争性谈判方式采购活动，经谈判小组评定</w:t>
      </w:r>
      <w:r>
        <w:rPr>
          <w:rFonts w:hint="eastAsia" w:asciiTheme="minorEastAsia" w:hAnsiTheme="minorEastAsia" w:eastAsiaTheme="minorEastAsia"/>
          <w:sz w:val="24"/>
        </w:rPr>
        <w:t>，</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以下简称：乙方</w:t>
      </w:r>
      <w:r>
        <w:rPr>
          <w:rFonts w:hint="eastAsia" w:asciiTheme="minorEastAsia" w:hAnsiTheme="minorEastAsia" w:eastAsiaTheme="minorEastAsia"/>
          <w:sz w:val="24"/>
        </w:rPr>
        <w:t>）为本项目成交供应商，现按照采购文件确定的事项签订本合同。</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Theme="minorEastAsia" w:hAnsiTheme="minorEastAsia" w:eastAsiaTheme="minorEastAsia"/>
          <w:b/>
          <w:bCs/>
          <w:sz w:val="24"/>
          <w:lang w:val="zh-CN"/>
        </w:rPr>
      </w:pPr>
      <w:bookmarkStart w:id="55" w:name="_Toc24059"/>
      <w:bookmarkStart w:id="56" w:name="_Toc2232"/>
      <w:bookmarkStart w:id="57" w:name="_Toc3029"/>
      <w:r>
        <w:rPr>
          <w:rFonts w:hint="eastAsia" w:asciiTheme="minorEastAsia" w:hAnsiTheme="minorEastAsia" w:eastAsiaTheme="minorEastAsia"/>
          <w:b/>
          <w:bCs/>
          <w:sz w:val="24"/>
          <w:lang w:val="zh-CN"/>
        </w:rPr>
        <w:t>1.1</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合同组成部分</w:t>
      </w:r>
      <w:bookmarkEnd w:id="55"/>
      <w:bookmarkEnd w:id="56"/>
      <w:bookmarkEnd w:id="57"/>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1.1.1本合同及其补充合同、变更协议；</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1.1.2成交通知书；</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1.1.3响应文件（含澄清或者说明文件）；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1.1.4谈判文件（含澄清或者修改文件）；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1.1.5其他相关采购文件。</w:t>
      </w:r>
    </w:p>
    <w:p>
      <w:pPr>
        <w:spacing w:line="360" w:lineRule="auto"/>
        <w:ind w:firstLine="437"/>
        <w:outlineLvl w:val="2"/>
        <w:rPr>
          <w:rFonts w:asciiTheme="minorEastAsia" w:hAnsiTheme="minorEastAsia" w:eastAsiaTheme="minorEastAsia"/>
          <w:b/>
          <w:bCs/>
          <w:sz w:val="24"/>
          <w:lang w:val="zh-CN"/>
        </w:rPr>
      </w:pPr>
      <w:bookmarkStart w:id="58" w:name="_Toc21295"/>
      <w:bookmarkStart w:id="59" w:name="_Toc27126"/>
      <w:bookmarkStart w:id="60" w:name="_Toc24300"/>
      <w:r>
        <w:rPr>
          <w:rFonts w:hint="eastAsia" w:asciiTheme="minorEastAsia" w:hAnsiTheme="minorEastAsia" w:eastAsiaTheme="minorEastAsia"/>
          <w:b/>
          <w:bCs/>
          <w:sz w:val="24"/>
          <w:lang w:val="zh-CN"/>
        </w:rPr>
        <w:t>1.2</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货物</w:t>
      </w:r>
      <w:bookmarkEnd w:id="58"/>
      <w:bookmarkEnd w:id="59"/>
      <w:bookmarkEnd w:id="60"/>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662"/>
        <w:gridCol w:w="1662"/>
        <w:gridCol w:w="1658"/>
        <w:gridCol w:w="1658"/>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序号</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货物名称</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规格型号</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单位</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数量</w:t>
            </w:r>
          </w:p>
        </w:tc>
        <w:tc>
          <w:tcPr>
            <w:tcW w:w="885"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5"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5"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5"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5" w:type="pct"/>
            <w:vAlign w:val="center"/>
          </w:tcPr>
          <w:p>
            <w:pPr>
              <w:jc w:val="center"/>
              <w:rPr>
                <w:rFonts w:asciiTheme="minorEastAsia" w:hAnsiTheme="minorEastAsia" w:eastAsiaTheme="minorEastAsia"/>
                <w:sz w:val="24"/>
                <w:lang w:val="zh-CN"/>
              </w:rPr>
            </w:pPr>
          </w:p>
        </w:tc>
      </w:tr>
    </w:tbl>
    <w:p>
      <w:pPr>
        <w:spacing w:line="360" w:lineRule="auto"/>
        <w:ind w:firstLine="437"/>
        <w:outlineLvl w:val="2"/>
        <w:rPr>
          <w:rFonts w:asciiTheme="minorEastAsia" w:hAnsiTheme="minorEastAsia" w:eastAsiaTheme="minorEastAsia"/>
          <w:b/>
          <w:bCs/>
          <w:sz w:val="24"/>
          <w:lang w:val="zh-CN"/>
        </w:rPr>
      </w:pPr>
      <w:bookmarkStart w:id="61" w:name="_Toc23292"/>
      <w:bookmarkStart w:id="62" w:name="_Toc21551"/>
      <w:bookmarkStart w:id="63" w:name="_Toc21631"/>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 xml:space="preserve">3 </w:t>
      </w:r>
      <w:r>
        <w:rPr>
          <w:rFonts w:hint="eastAsia" w:asciiTheme="minorEastAsia" w:hAnsiTheme="minorEastAsia" w:eastAsiaTheme="minorEastAsia"/>
          <w:b/>
          <w:bCs/>
          <w:sz w:val="24"/>
          <w:lang w:val="zh-CN"/>
        </w:rPr>
        <w:t>价款</w:t>
      </w:r>
      <w:bookmarkEnd w:id="61"/>
      <w:bookmarkEnd w:id="62"/>
      <w:bookmarkEnd w:id="63"/>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本合同总价为</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元</w:t>
      </w:r>
      <w:r>
        <w:rPr>
          <w:rFonts w:hint="eastAsia" w:asciiTheme="minorEastAsia" w:hAnsiTheme="minorEastAsia" w:eastAsiaTheme="minorEastAsia"/>
          <w:sz w:val="24"/>
        </w:rPr>
        <w:t>（大写：人民币</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元）</w:t>
      </w:r>
      <w:r>
        <w:rPr>
          <w:rFonts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asciiTheme="minorEastAsia" w:hAnsiTheme="minorEastAsia" w:eastAsiaTheme="minorEastAsia"/>
          <w:sz w:val="24"/>
        </w:rPr>
        <w:t>分项价格：</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4732"/>
        <w:gridCol w:w="13"/>
        <w:gridCol w:w="3536"/>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序号</w:t>
            </w:r>
          </w:p>
        </w:tc>
        <w:tc>
          <w:tcPr>
            <w:tcW w:w="2532" w:type="pct"/>
            <w:vAlign w:val="center"/>
          </w:tcPr>
          <w:p>
            <w:pPr>
              <w:pStyle w:val="39"/>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分项名称</w:t>
            </w:r>
          </w:p>
        </w:tc>
        <w:tc>
          <w:tcPr>
            <w:tcW w:w="1899" w:type="pct"/>
            <w:gridSpan w:val="2"/>
            <w:vAlign w:val="center"/>
          </w:tcPr>
          <w:p>
            <w:pPr>
              <w:pStyle w:val="39"/>
              <w:jc w:val="center"/>
              <w:rPr>
                <w:rFonts w:asciiTheme="minorEastAsia" w:hAnsiTheme="minorEastAsia" w:eastAsiaTheme="minorEastAsia"/>
                <w:sz w:val="24"/>
                <w:szCs w:val="24"/>
              </w:rPr>
            </w:pPr>
            <w:r>
              <w:rPr>
                <w:rFonts w:asciiTheme="minorEastAsia" w:hAnsiTheme="minorEastAsia" w:eastAsiaTheme="minorEastAsia"/>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2532" w:type="pct"/>
            <w:vAlign w:val="center"/>
          </w:tcPr>
          <w:p>
            <w:pPr>
              <w:pStyle w:val="39"/>
              <w:ind w:firstLine="200"/>
              <w:jc w:val="center"/>
              <w:rPr>
                <w:rFonts w:asciiTheme="minorEastAsia" w:hAnsiTheme="minorEastAsia" w:eastAsiaTheme="minorEastAsia"/>
                <w:sz w:val="24"/>
                <w:szCs w:val="24"/>
              </w:rPr>
            </w:pPr>
          </w:p>
        </w:tc>
        <w:tc>
          <w:tcPr>
            <w:tcW w:w="1899" w:type="pct"/>
            <w:gridSpan w:val="2"/>
            <w:vAlign w:val="center"/>
          </w:tcPr>
          <w:p>
            <w:pPr>
              <w:pStyle w:val="39"/>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2532" w:type="pct"/>
            <w:vAlign w:val="center"/>
          </w:tcPr>
          <w:p>
            <w:pPr>
              <w:pStyle w:val="39"/>
              <w:ind w:firstLine="200"/>
              <w:jc w:val="center"/>
              <w:rPr>
                <w:rFonts w:asciiTheme="minorEastAsia" w:hAnsiTheme="minorEastAsia" w:eastAsiaTheme="minorEastAsia"/>
                <w:sz w:val="24"/>
                <w:szCs w:val="24"/>
              </w:rPr>
            </w:pPr>
          </w:p>
        </w:tc>
        <w:tc>
          <w:tcPr>
            <w:tcW w:w="1899" w:type="pct"/>
            <w:gridSpan w:val="2"/>
            <w:vAlign w:val="center"/>
          </w:tcPr>
          <w:p>
            <w:pPr>
              <w:pStyle w:val="39"/>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2532" w:type="pct"/>
            <w:vAlign w:val="center"/>
          </w:tcPr>
          <w:p>
            <w:pPr>
              <w:pStyle w:val="39"/>
              <w:ind w:firstLine="200"/>
              <w:jc w:val="center"/>
              <w:rPr>
                <w:rFonts w:asciiTheme="minorEastAsia" w:hAnsiTheme="minorEastAsia" w:eastAsiaTheme="minorEastAsia"/>
                <w:sz w:val="24"/>
                <w:szCs w:val="24"/>
              </w:rPr>
            </w:pPr>
          </w:p>
        </w:tc>
        <w:tc>
          <w:tcPr>
            <w:tcW w:w="1899" w:type="pct"/>
            <w:gridSpan w:val="2"/>
            <w:vAlign w:val="center"/>
          </w:tcPr>
          <w:p>
            <w:pPr>
              <w:pStyle w:val="39"/>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2532" w:type="pct"/>
            <w:vAlign w:val="center"/>
          </w:tcPr>
          <w:p>
            <w:pPr>
              <w:pStyle w:val="39"/>
              <w:ind w:firstLine="200"/>
              <w:jc w:val="center"/>
              <w:rPr>
                <w:rFonts w:asciiTheme="minorEastAsia" w:hAnsiTheme="minorEastAsia" w:eastAsiaTheme="minorEastAsia"/>
                <w:sz w:val="24"/>
                <w:szCs w:val="24"/>
              </w:rPr>
            </w:pPr>
          </w:p>
        </w:tc>
        <w:tc>
          <w:tcPr>
            <w:tcW w:w="1899" w:type="pct"/>
            <w:gridSpan w:val="2"/>
            <w:vAlign w:val="center"/>
          </w:tcPr>
          <w:p>
            <w:pPr>
              <w:pStyle w:val="39"/>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39"/>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总价</w:t>
            </w:r>
          </w:p>
        </w:tc>
        <w:tc>
          <w:tcPr>
            <w:tcW w:w="1899" w:type="pct"/>
            <w:gridSpan w:val="2"/>
            <w:vAlign w:val="center"/>
          </w:tcPr>
          <w:p>
            <w:pPr>
              <w:pStyle w:val="39"/>
              <w:ind w:firstLine="200"/>
              <w:jc w:val="center"/>
              <w:rPr>
                <w:rFonts w:asciiTheme="minorEastAsia" w:hAnsiTheme="minorEastAsia" w:eastAsiaTheme="minorEastAsia"/>
                <w:sz w:val="24"/>
                <w:szCs w:val="24"/>
              </w:rPr>
            </w:pPr>
          </w:p>
        </w:tc>
      </w:tr>
    </w:tbl>
    <w:p>
      <w:pPr>
        <w:spacing w:line="360" w:lineRule="auto"/>
        <w:ind w:firstLine="437"/>
        <w:outlineLvl w:val="2"/>
        <w:rPr>
          <w:rFonts w:asciiTheme="minorEastAsia" w:hAnsiTheme="minorEastAsia" w:eastAsiaTheme="minorEastAsia"/>
          <w:b/>
          <w:bCs/>
          <w:sz w:val="24"/>
          <w:lang w:val="zh-CN"/>
        </w:rPr>
      </w:pPr>
      <w:bookmarkStart w:id="64" w:name="_Toc22618"/>
      <w:bookmarkStart w:id="65" w:name="_Toc1814"/>
      <w:bookmarkStart w:id="66" w:name="_Toc10340"/>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4 付款方式和发票开具方式</w:t>
      </w:r>
      <w:bookmarkEnd w:id="64"/>
      <w:bookmarkEnd w:id="65"/>
      <w:bookmarkEnd w:id="66"/>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1.4.1</w:t>
      </w:r>
      <w:r>
        <w:rPr>
          <w:rFonts w:asciiTheme="minorEastAsia" w:hAnsiTheme="minorEastAsia" w:eastAsiaTheme="minorEastAsia"/>
          <w:sz w:val="24"/>
        </w:rPr>
        <w:t>付款方式：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1.4.2发票开具方式：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67" w:name="_Toc19304"/>
      <w:bookmarkStart w:id="68" w:name="_Toc2846"/>
      <w:bookmarkStart w:id="69" w:name="_Toc32071"/>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5 货物交付期限</w:t>
      </w:r>
      <w:r>
        <w:rPr>
          <w:rFonts w:hint="eastAsia" w:asciiTheme="minorEastAsia" w:hAnsiTheme="minorEastAsia" w:eastAsiaTheme="minorEastAsia"/>
          <w:b/>
          <w:bCs/>
          <w:sz w:val="24"/>
          <w:lang w:val="zh-CN"/>
        </w:rPr>
        <w:t>、地点和方式</w:t>
      </w:r>
      <w:bookmarkEnd w:id="67"/>
      <w:bookmarkEnd w:id="68"/>
      <w:bookmarkEnd w:id="69"/>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1.5.1交付期限</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1.5.2交付地点</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1.5.3交付方式：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70" w:name="_Toc27250"/>
      <w:bookmarkStart w:id="71" w:name="_Toc19554"/>
      <w:bookmarkStart w:id="72" w:name="_Toc21423"/>
      <w:r>
        <w:rPr>
          <w:rFonts w:hint="eastAsia" w:asciiTheme="minorEastAsia" w:hAnsiTheme="minorEastAsia" w:eastAsiaTheme="minorEastAsia"/>
          <w:b/>
          <w:bCs/>
          <w:sz w:val="24"/>
          <w:lang w:val="zh-CN"/>
        </w:rPr>
        <w:t>1.6 违约责任</w:t>
      </w:r>
      <w:bookmarkEnd w:id="70"/>
      <w:bookmarkEnd w:id="71"/>
      <w:bookmarkEnd w:id="72"/>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1.6.1</w:t>
      </w:r>
      <w:r>
        <w:rPr>
          <w:rFonts w:asciiTheme="minorEastAsia" w:hAnsiTheme="minorEastAsia" w:eastAsiaTheme="minorEastAsia"/>
          <w:sz w:val="24"/>
        </w:rPr>
        <w:t>除不可抗力外，如果乙方没有按照本合同约定的期限</w:t>
      </w:r>
      <w:r>
        <w:rPr>
          <w:rFonts w:hint="eastAsia" w:asciiTheme="minorEastAsia" w:hAnsiTheme="minorEastAsia" w:eastAsiaTheme="minorEastAsia"/>
          <w:sz w:val="24"/>
        </w:rPr>
        <w:t>、</w:t>
      </w:r>
      <w:r>
        <w:rPr>
          <w:rFonts w:asciiTheme="minorEastAsia" w:hAnsiTheme="minorEastAsia" w:eastAsiaTheme="minorEastAsia"/>
          <w:sz w:val="24"/>
        </w:rPr>
        <w:t>地点和方式交付货物，那么甲方可要求乙方支付违约金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违约金按每迟延交付货物一日的应交付而未交付货物价格的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迟延交付货物的违约金计算数额达到前述最高限额之日起</w:t>
      </w:r>
      <w:r>
        <w:rPr>
          <w:rFonts w:hint="eastAsia" w:asciiTheme="minorEastAsia" w:hAnsiTheme="minorEastAsia" w:eastAsiaTheme="minorEastAsia"/>
          <w:sz w:val="24"/>
        </w:rPr>
        <w:t>，</w:t>
      </w:r>
      <w:r>
        <w:rPr>
          <w:rFonts w:asciiTheme="minorEastAsia" w:hAnsiTheme="minorEastAsia" w:eastAsiaTheme="minorEastAsia"/>
          <w:sz w:val="24"/>
        </w:rPr>
        <w:t>甲方有权在要求乙方支付违约金的同时</w:t>
      </w:r>
      <w:r>
        <w:rPr>
          <w:rFonts w:hint="eastAsia" w:asciiTheme="minorEastAsia" w:hAnsiTheme="minorEastAsia" w:eastAsiaTheme="minorEastAsia"/>
          <w:sz w:val="24"/>
        </w:rPr>
        <w:t>，书面通知乙方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1.6.2</w:t>
      </w:r>
      <w:r>
        <w:rPr>
          <w:rFonts w:asciiTheme="minorEastAsia" w:hAnsiTheme="minorEastAsia" w:eastAsiaTheme="minorEastAsia"/>
          <w:sz w:val="24"/>
        </w:rPr>
        <w:t>除不可抗力外，如果甲方没有按照本合同约定的付款方式付款，那么乙方可要求甲方支付违约金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w:t>
      </w:r>
      <w:r>
        <w:rPr>
          <w:rFonts w:hint="eastAsia" w:asciiTheme="minorEastAsia" w:hAnsiTheme="minorEastAsia" w:eastAsiaTheme="minorEastAsia"/>
          <w:sz w:val="24"/>
        </w:rPr>
        <w:t>付款</w:t>
      </w:r>
      <w:r>
        <w:rPr>
          <w:rFonts w:asciiTheme="minorEastAsia" w:hAnsiTheme="minorEastAsia" w:eastAsiaTheme="minorEastAsia"/>
          <w:sz w:val="24"/>
        </w:rPr>
        <w:t>一日的应付而未付款的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w:t>
      </w:r>
      <w:r>
        <w:rPr>
          <w:rFonts w:hint="eastAsia" w:asciiTheme="minorEastAsia" w:hAnsiTheme="minorEastAsia" w:eastAsiaTheme="minorEastAsia"/>
          <w:sz w:val="24"/>
        </w:rPr>
        <w:t>付款</w:t>
      </w:r>
      <w:r>
        <w:rPr>
          <w:rFonts w:asciiTheme="minorEastAsia" w:hAnsiTheme="minorEastAsia" w:eastAsiaTheme="minorEastAsia"/>
          <w:sz w:val="24"/>
        </w:rPr>
        <w:t>的违约金计算数额达到前述最高限额之日起</w:t>
      </w:r>
      <w:r>
        <w:rPr>
          <w:rFonts w:hint="eastAsia" w:asciiTheme="minorEastAsia" w:hAnsiTheme="minorEastAsia" w:eastAsiaTheme="minorEastAsia"/>
          <w:sz w:val="24"/>
        </w:rPr>
        <w:t>，乙</w:t>
      </w:r>
      <w:r>
        <w:rPr>
          <w:rFonts w:asciiTheme="minorEastAsia" w:hAnsiTheme="minorEastAsia" w:eastAsiaTheme="minorEastAsia"/>
          <w:sz w:val="24"/>
        </w:rPr>
        <w:t>方有权在要求甲方支付违约金的同时</w:t>
      </w:r>
      <w:r>
        <w:rPr>
          <w:rFonts w:hint="eastAsia" w:asciiTheme="minorEastAsia" w:hAnsiTheme="minorEastAsia" w:eastAsiaTheme="minorEastAsia"/>
          <w:sz w:val="24"/>
        </w:rPr>
        <w:t>，书面通知甲方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hint="eastAsia" w:cs="Times New Roman" w:asciiTheme="minorEastAsia" w:hAnsiTheme="minorEastAsia" w:eastAsiaTheme="minorEastAsia"/>
          <w:sz w:val="24"/>
          <w:szCs w:val="24"/>
        </w:rPr>
      </w:pPr>
      <w:bookmarkStart w:id="73" w:name="_Toc15583"/>
      <w:bookmarkStart w:id="74" w:name="_Toc16021"/>
      <w:r>
        <w:rPr>
          <w:rFonts w:hint="eastAsia" w:cs="Times New Roman" w:asciiTheme="minorEastAsia" w:hAnsiTheme="minorEastAsia" w:eastAsiaTheme="minorEastAsia"/>
          <w:sz w:val="24"/>
          <w:szCs w:val="24"/>
        </w:rPr>
        <w:t>1.6.7</w:t>
      </w:r>
      <w:r>
        <w:rPr>
          <w:rFonts w:cs="Times New Roman" w:asciiTheme="minorEastAsia" w:hAnsiTheme="minorEastAsia" w:eastAsiaTheme="minorEastAsia"/>
          <w:color w:val="000000" w:themeColor="text1"/>
          <w:sz w:val="24"/>
          <w:szCs w:val="24"/>
          <w:highlight w:val="none"/>
          <w14:textFill>
            <w14:solidFill>
              <w14:schemeClr w14:val="tx1"/>
            </w14:solidFill>
          </w14:textFill>
        </w:rPr>
        <w:t>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Theme="minorEastAsia" w:hAnsiTheme="minorEastAsia" w:eastAsiaTheme="minorEastAsia"/>
          <w:b/>
          <w:bCs/>
          <w:sz w:val="24"/>
          <w:lang w:val="zh-CN"/>
        </w:rPr>
      </w:pPr>
      <w:r>
        <w:rPr>
          <w:rFonts w:hint="eastAsia" w:asciiTheme="minorEastAsia" w:hAnsiTheme="minorEastAsia" w:eastAsiaTheme="minorEastAsia"/>
          <w:b/>
          <w:bCs/>
          <w:sz w:val="24"/>
          <w:lang w:val="zh-CN"/>
        </w:rPr>
        <w:t>1.7</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w:t>
      </w:r>
      <w:r>
        <w:rPr>
          <w:rFonts w:asciiTheme="minorEastAsia" w:hAnsiTheme="minorEastAsia" w:eastAsiaTheme="minorEastAsia"/>
          <w:b/>
          <w:bCs/>
          <w:sz w:val="24"/>
          <w:lang w:val="zh-CN"/>
        </w:rPr>
        <w:t>争议的解决</w:t>
      </w:r>
      <w:bookmarkEnd w:id="73"/>
      <w:bookmarkEnd w:id="74"/>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本合</w:t>
      </w:r>
      <w:r>
        <w:rPr>
          <w:rFonts w:asciiTheme="minorEastAsia" w:hAnsiTheme="minorEastAsia" w:eastAsiaTheme="minorEastAsia"/>
          <w:sz w:val="24"/>
        </w:rPr>
        <w:t>同履行过程中发生的任何争议，双方当事人均可</w:t>
      </w:r>
      <w:r>
        <w:rPr>
          <w:rFonts w:hint="eastAsia" w:asciiTheme="minorEastAsia" w:hAnsiTheme="minorEastAsia" w:eastAsiaTheme="minorEastAsia"/>
          <w:sz w:val="24"/>
        </w:rPr>
        <w:t>通过和解或者调解解决；不愿和解、调解或者和解、调解不成的，可以选择下列第</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种方式解决：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1.7.1将争议提交</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仲裁委员会依申请仲裁时其现行有效的仲裁规则裁决；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1.7.2向</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人民法院起诉。</w:t>
      </w:r>
    </w:p>
    <w:p>
      <w:pPr>
        <w:spacing w:line="360" w:lineRule="auto"/>
        <w:ind w:firstLine="437"/>
        <w:outlineLvl w:val="2"/>
        <w:rPr>
          <w:rFonts w:asciiTheme="minorEastAsia" w:hAnsiTheme="minorEastAsia" w:eastAsiaTheme="minorEastAsia"/>
          <w:b/>
          <w:bCs/>
          <w:sz w:val="24"/>
          <w:lang w:val="zh-CN"/>
        </w:rPr>
      </w:pPr>
      <w:bookmarkStart w:id="75" w:name="_Toc15322"/>
      <w:bookmarkStart w:id="76" w:name="_Toc11173"/>
      <w:bookmarkStart w:id="77" w:name="_Toc7245"/>
      <w:r>
        <w:rPr>
          <w:rFonts w:hint="eastAsia" w:asciiTheme="minorEastAsia" w:hAnsiTheme="minorEastAsia" w:eastAsiaTheme="minorEastAsia"/>
          <w:b/>
          <w:bCs/>
          <w:sz w:val="24"/>
          <w:lang w:val="zh-CN"/>
        </w:rPr>
        <w:t>1.8</w:t>
      </w:r>
      <w:r>
        <w:rPr>
          <w:rFonts w:asciiTheme="minorEastAsia" w:hAnsiTheme="minorEastAsia" w:eastAsiaTheme="minorEastAsia"/>
          <w:b/>
          <w:bCs/>
          <w:sz w:val="24"/>
          <w:lang w:val="zh-CN"/>
        </w:rPr>
        <w:t xml:space="preserve"> 合同生效</w:t>
      </w:r>
      <w:bookmarkEnd w:id="75"/>
      <w:bookmarkEnd w:id="76"/>
      <w:bookmarkEnd w:id="77"/>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本合同自</w:t>
      </w:r>
      <w:r>
        <w:rPr>
          <w:rFonts w:hint="eastAsia" w:asciiTheme="minorEastAsia" w:hAnsiTheme="minorEastAsia" w:eastAsiaTheme="minorEastAsia"/>
          <w:sz w:val="24"/>
        </w:rPr>
        <w:t>双方当事人盖章时</w:t>
      </w:r>
      <w:r>
        <w:rPr>
          <w:rFonts w:asciiTheme="minorEastAsia" w:hAnsiTheme="minorEastAsia" w:eastAsiaTheme="minorEastAsia"/>
          <w:sz w:val="24"/>
        </w:rPr>
        <w:t>生效。</w:t>
      </w: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78"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Theme="minorEastAsia" w:hAnsiTheme="minorEastAsia" w:eastAsiaTheme="minorEastAsia"/>
          <w:b/>
          <w:sz w:val="24"/>
        </w:rPr>
      </w:pPr>
      <w:r>
        <w:rPr>
          <w:rFonts w:asciiTheme="minorEastAsia" w:hAnsiTheme="minorEastAsia" w:eastAsiaTheme="minorEastAsia"/>
          <w:b/>
          <w:sz w:val="24"/>
        </w:rPr>
        <w:br w:type="page"/>
      </w:r>
    </w:p>
    <w:p>
      <w:pPr>
        <w:spacing w:line="360" w:lineRule="auto"/>
        <w:jc w:val="center"/>
        <w:outlineLvl w:val="1"/>
        <w:rPr>
          <w:rFonts w:asciiTheme="minorEastAsia" w:hAnsiTheme="minorEastAsia" w:eastAsiaTheme="minorEastAsia"/>
          <w:b/>
          <w:sz w:val="24"/>
        </w:rPr>
      </w:pPr>
      <w:bookmarkStart w:id="79" w:name="_Toc19708"/>
      <w:r>
        <w:rPr>
          <w:rFonts w:hint="eastAsia" w:asciiTheme="minorEastAsia" w:hAnsiTheme="minorEastAsia" w:eastAsiaTheme="minorEastAsia"/>
          <w:b/>
          <w:sz w:val="24"/>
        </w:rPr>
        <w:t>第二部分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合同一般条款</w:t>
      </w:r>
      <w:bookmarkEnd w:id="78"/>
      <w:bookmarkEnd w:id="79"/>
    </w:p>
    <w:p>
      <w:pPr>
        <w:spacing w:line="360" w:lineRule="auto"/>
        <w:ind w:firstLine="437"/>
        <w:outlineLvl w:val="2"/>
        <w:rPr>
          <w:rFonts w:asciiTheme="minorEastAsia" w:hAnsiTheme="minorEastAsia" w:eastAsiaTheme="minorEastAsia"/>
          <w:b/>
          <w:bCs/>
          <w:sz w:val="24"/>
          <w:lang w:val="zh-CN"/>
        </w:rPr>
      </w:pPr>
      <w:bookmarkStart w:id="80" w:name="_Toc19614"/>
      <w:bookmarkStart w:id="81" w:name="_Toc259093669"/>
      <w:bookmarkStart w:id="82" w:name="_Ref467379225"/>
      <w:bookmarkStart w:id="83" w:name="_Toc487900349"/>
      <w:bookmarkStart w:id="84" w:name="_Ref467379101"/>
      <w:bookmarkStart w:id="85" w:name="_Ref467378463"/>
      <w:bookmarkStart w:id="86" w:name="_Toc279701240"/>
      <w:bookmarkStart w:id="87" w:name="_Toc28763"/>
      <w:bookmarkStart w:id="88" w:name="_Ref467378404"/>
      <w:bookmarkStart w:id="89" w:name="_Ref467378499"/>
      <w:bookmarkStart w:id="90" w:name="_Toc16917"/>
      <w:bookmarkStart w:id="91" w:name="_Ref467379205"/>
      <w:bookmarkStart w:id="92" w:name="_Ref467379094"/>
      <w:bookmarkStart w:id="93" w:name="_Ref467379195"/>
      <w:bookmarkStart w:id="94" w:name="_Ref467379214"/>
      <w:bookmarkStart w:id="95" w:name="_Ref467379109"/>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 xml:space="preserve"> 定义</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本合同中的下列</w:t>
      </w:r>
      <w:r>
        <w:rPr>
          <w:rFonts w:hint="eastAsia" w:asciiTheme="minorEastAsia" w:hAnsiTheme="minorEastAsia" w:eastAsiaTheme="minorEastAsia"/>
          <w:sz w:val="24"/>
        </w:rPr>
        <w:t>词</w:t>
      </w:r>
      <w:r>
        <w:rPr>
          <w:rFonts w:asciiTheme="minorEastAsia" w:hAnsiTheme="minorEastAsia" w:eastAsiaTheme="minorEastAsia"/>
          <w:sz w:val="24"/>
        </w:rPr>
        <w:t>语应</w:t>
      </w:r>
      <w:r>
        <w:rPr>
          <w:rFonts w:hint="eastAsia" w:asciiTheme="minorEastAsia" w:hAnsiTheme="minorEastAsia" w:eastAsiaTheme="minorEastAsia"/>
          <w:sz w:val="24"/>
        </w:rPr>
        <w:t>按以下内容进行</w:t>
      </w:r>
      <w:r>
        <w:rPr>
          <w:rFonts w:asciiTheme="minorEastAsia" w:hAnsiTheme="minorEastAsia" w:eastAsiaTheme="minorEastAsia"/>
          <w:sz w:val="24"/>
        </w:rPr>
        <w:t>解释：</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.1</w:t>
      </w:r>
      <w:r>
        <w:rPr>
          <w:rFonts w:asciiTheme="minorEastAsia" w:hAnsiTheme="minorEastAsia" w:eastAsiaTheme="minorEastAsia"/>
          <w:sz w:val="24"/>
        </w:rPr>
        <w:t>“合同”系指采购人和成交供应商签订的载明双方当事人所达成的协议，并包括所有的附件、附录和构成合同的其他文件。</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1.2“合同价”系指根据合同约定，成交供应商在完全履行合同义务后</w:t>
      </w:r>
      <w:r>
        <w:rPr>
          <w:rFonts w:hint="eastAsia" w:asciiTheme="minorEastAsia" w:hAnsiTheme="minorEastAsia" w:eastAsiaTheme="minorEastAsia"/>
          <w:sz w:val="24"/>
        </w:rPr>
        <w:t>，</w:t>
      </w:r>
      <w:r>
        <w:rPr>
          <w:rFonts w:asciiTheme="minorEastAsia" w:hAnsiTheme="minorEastAsia" w:eastAsiaTheme="minorEastAsia"/>
          <w:sz w:val="24"/>
        </w:rPr>
        <w:t>采购人应支付给成交供应商的价格。</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1.3“货物”系指</w:t>
      </w:r>
      <w:r>
        <w:rPr>
          <w:rFonts w:hint="eastAsia" w:asciiTheme="minorEastAsia" w:hAnsiTheme="minorEastAsia" w:eastAsiaTheme="minorEastAsia"/>
          <w:sz w:val="24"/>
        </w:rPr>
        <w:t>成交供应商</w:t>
      </w:r>
      <w:r>
        <w:rPr>
          <w:rFonts w:asciiTheme="minorEastAsia" w:hAnsiTheme="minorEastAsia" w:eastAsiaTheme="minorEastAsia"/>
          <w:sz w:val="24"/>
        </w:rPr>
        <w:t>根据合同约定应向采购人交付的一切</w:t>
      </w:r>
      <w:r>
        <w:rPr>
          <w:rFonts w:hint="eastAsia" w:asciiTheme="minorEastAsia" w:hAnsiTheme="minorEastAsia" w:eastAsiaTheme="minorEastAsia"/>
          <w:sz w:val="24"/>
        </w:rPr>
        <w:t>各种形态和种类的物品，包括原材料、燃料、设备、</w:t>
      </w:r>
      <w:r>
        <w:rPr>
          <w:rFonts w:asciiTheme="minorEastAsia" w:hAnsiTheme="minorEastAsia" w:eastAsiaTheme="minorEastAsia"/>
          <w:sz w:val="24"/>
        </w:rPr>
        <w:t>机械、仪表、备件</w:t>
      </w:r>
      <w:r>
        <w:rPr>
          <w:rFonts w:hint="eastAsia" w:asciiTheme="minorEastAsia" w:hAnsiTheme="minorEastAsia" w:eastAsiaTheme="minorEastAsia"/>
          <w:sz w:val="24"/>
        </w:rPr>
        <w:t>、计算机软件、产品等</w:t>
      </w:r>
      <w:r>
        <w:rPr>
          <w:rFonts w:asciiTheme="minorEastAsia" w:hAnsiTheme="minorEastAsia" w:eastAsiaTheme="minorEastAsia"/>
          <w:sz w:val="24"/>
        </w:rPr>
        <w:t>，并包括工具、手册等其他相关资料。</w:t>
      </w:r>
    </w:p>
    <w:p>
      <w:pPr>
        <w:spacing w:line="360" w:lineRule="auto"/>
        <w:ind w:firstLine="435"/>
        <w:rPr>
          <w:rFonts w:asciiTheme="minorEastAsia" w:hAnsiTheme="minorEastAsia" w:eastAsiaTheme="minorEastAsia"/>
          <w:sz w:val="24"/>
        </w:rPr>
      </w:pPr>
      <w:bookmarkStart w:id="96" w:name="_Ref46737884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甲方</w:t>
      </w:r>
      <w:r>
        <w:rPr>
          <w:rFonts w:asciiTheme="minorEastAsia" w:hAnsiTheme="minorEastAsia" w:eastAsiaTheme="minorEastAsia"/>
          <w:sz w:val="24"/>
        </w:rPr>
        <w:t>”系指与</w:t>
      </w:r>
      <w:r>
        <w:rPr>
          <w:rFonts w:hint="eastAsia" w:asciiTheme="minorEastAsia" w:hAnsiTheme="minorEastAsia" w:eastAsiaTheme="minorEastAsia"/>
          <w:sz w:val="24"/>
        </w:rPr>
        <w:t>成交供应商</w:t>
      </w:r>
      <w:r>
        <w:rPr>
          <w:rFonts w:asciiTheme="minorEastAsia" w:hAnsiTheme="minorEastAsia" w:eastAsiaTheme="minorEastAsia"/>
          <w:sz w:val="24"/>
        </w:rPr>
        <w:t>签署合同的采购人</w:t>
      </w:r>
      <w:bookmarkEnd w:id="96"/>
      <w:r>
        <w:rPr>
          <w:rFonts w:hint="eastAsia" w:asciiTheme="minorEastAsia" w:hAnsiTheme="minorEastAsia" w:eastAsiaTheme="minorEastAsia"/>
          <w:sz w:val="24"/>
        </w:rPr>
        <w:t>；采购人委托采购代理机构代表其与乙方签订合同的，采购人的授权委托书作为合同附件。</w:t>
      </w:r>
    </w:p>
    <w:p>
      <w:pPr>
        <w:spacing w:line="360" w:lineRule="auto"/>
        <w:ind w:firstLine="435"/>
        <w:rPr>
          <w:rFonts w:asciiTheme="minorEastAsia" w:hAnsiTheme="minorEastAsia" w:eastAsiaTheme="minorEastAsia"/>
          <w:sz w:val="24"/>
        </w:rPr>
      </w:pPr>
      <w:bookmarkStart w:id="97" w:name="_Ref46737940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5</w:t>
      </w:r>
      <w:r>
        <w:rPr>
          <w:rFonts w:asciiTheme="minorEastAsia" w:hAnsiTheme="minorEastAsia" w:eastAsiaTheme="minorEastAsia"/>
          <w:sz w:val="24"/>
        </w:rPr>
        <w:t>“乙方”系指根据合同约定交付货物的成交供应商</w:t>
      </w:r>
      <w:bookmarkEnd w:id="97"/>
      <w:r>
        <w:rPr>
          <w:rFonts w:hint="eastAsia" w:asciiTheme="minorEastAsia" w:hAnsiTheme="minorEastAsia" w:eastAsiaTheme="minorEastAsia"/>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sz w:val="24"/>
        </w:rPr>
      </w:pPr>
      <w:bookmarkStart w:id="98" w:name="_Ref467379436"/>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6</w:t>
      </w:r>
      <w:r>
        <w:rPr>
          <w:rFonts w:asciiTheme="minorEastAsia" w:hAnsiTheme="minorEastAsia" w:eastAsiaTheme="minorEastAsia"/>
          <w:sz w:val="24"/>
        </w:rPr>
        <w:t>“现场”系指合同约定货物将要运至</w:t>
      </w:r>
      <w:r>
        <w:rPr>
          <w:rFonts w:hint="eastAsia" w:asciiTheme="minorEastAsia" w:hAnsiTheme="minorEastAsia" w:eastAsiaTheme="minorEastAsia"/>
          <w:sz w:val="24"/>
        </w:rPr>
        <w:t>或者</w:t>
      </w:r>
      <w:r>
        <w:rPr>
          <w:rFonts w:asciiTheme="minorEastAsia" w:hAnsiTheme="minorEastAsia" w:eastAsiaTheme="minorEastAsia"/>
          <w:sz w:val="24"/>
        </w:rPr>
        <w:t>安装的地点。</w:t>
      </w:r>
      <w:bookmarkEnd w:id="98"/>
    </w:p>
    <w:p>
      <w:pPr>
        <w:spacing w:line="360" w:lineRule="auto"/>
        <w:ind w:firstLine="437"/>
        <w:outlineLvl w:val="2"/>
        <w:rPr>
          <w:rFonts w:asciiTheme="minorEastAsia" w:hAnsiTheme="minorEastAsia" w:eastAsiaTheme="minorEastAsia"/>
          <w:b/>
          <w:bCs/>
          <w:sz w:val="24"/>
          <w:lang w:val="zh-CN"/>
        </w:rPr>
      </w:pPr>
      <w:bookmarkStart w:id="99" w:name="_Toc487900350"/>
      <w:bookmarkStart w:id="100" w:name="_Toc32504"/>
      <w:bookmarkStart w:id="101" w:name="_Toc13336"/>
      <w:bookmarkStart w:id="102" w:name="_Toc279701241"/>
      <w:bookmarkStart w:id="103" w:name="_Toc27635"/>
      <w:bookmarkStart w:id="104" w:name="_Toc259093670"/>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2 技术规范</w:t>
      </w:r>
      <w:bookmarkEnd w:id="99"/>
      <w:bookmarkEnd w:id="100"/>
      <w:bookmarkEnd w:id="101"/>
      <w:bookmarkEnd w:id="102"/>
      <w:bookmarkEnd w:id="103"/>
      <w:bookmarkEnd w:id="104"/>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sz w:val="24"/>
        </w:rPr>
        <w:t>；</w:t>
      </w:r>
      <w:r>
        <w:rPr>
          <w:rFonts w:asciiTheme="minorEastAsia" w:hAnsiTheme="minorEastAsia" w:eastAsiaTheme="minorEastAsia"/>
          <w:sz w:val="24"/>
        </w:rPr>
        <w:t>如果采购文件中没有技术规范的相应说明，那么应以国家有关部门最新颁布的相应标准</w:t>
      </w:r>
      <w:r>
        <w:rPr>
          <w:rFonts w:hint="eastAsia" w:asciiTheme="minorEastAsia" w:hAnsiTheme="minorEastAsia" w:eastAsiaTheme="minorEastAsia"/>
          <w:sz w:val="24"/>
        </w:rPr>
        <w:t>和</w:t>
      </w:r>
      <w:r>
        <w:rPr>
          <w:rFonts w:asciiTheme="minorEastAsia" w:hAnsiTheme="minorEastAsia" w:eastAsiaTheme="minorEastAsia"/>
          <w:sz w:val="24"/>
        </w:rPr>
        <w:t>规范为准。</w:t>
      </w:r>
    </w:p>
    <w:p>
      <w:pPr>
        <w:spacing w:line="360" w:lineRule="auto"/>
        <w:ind w:firstLine="437"/>
        <w:outlineLvl w:val="2"/>
        <w:rPr>
          <w:rFonts w:asciiTheme="minorEastAsia" w:hAnsiTheme="minorEastAsia" w:eastAsiaTheme="minorEastAsia"/>
          <w:b/>
          <w:bCs/>
          <w:sz w:val="24"/>
          <w:lang w:val="zh-CN"/>
        </w:rPr>
      </w:pPr>
      <w:bookmarkStart w:id="105" w:name="_Toc279701242"/>
      <w:bookmarkStart w:id="106" w:name="_Toc27853"/>
      <w:bookmarkStart w:id="107" w:name="_Toc259093671"/>
      <w:bookmarkStart w:id="108" w:name="_Toc487900351"/>
      <w:bookmarkStart w:id="109" w:name="_Toc9829"/>
      <w:bookmarkStart w:id="110" w:name="_Toc31634"/>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3 知识产权</w:t>
      </w:r>
      <w:bookmarkEnd w:id="105"/>
      <w:bookmarkEnd w:id="106"/>
      <w:bookmarkEnd w:id="107"/>
      <w:bookmarkEnd w:id="108"/>
      <w:bookmarkEnd w:id="109"/>
      <w:bookmarkEnd w:id="11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2.3.1乙</w:t>
      </w:r>
      <w:r>
        <w:rPr>
          <w:rFonts w:asciiTheme="minorEastAsia" w:hAnsiTheme="minorEastAsia" w:eastAsiaTheme="minorEastAsia"/>
          <w:sz w:val="24"/>
        </w:rPr>
        <w:t>方应保证甲方在使用该货物或其任何一部分时不受任何第三方提出的侵犯其著作权、商标权、专利权等知识产权方面的起诉</w:t>
      </w:r>
      <w:r>
        <w:rPr>
          <w:rFonts w:hint="eastAsia" w:asciiTheme="minorEastAsia" w:hAnsiTheme="minorEastAsia" w:eastAsiaTheme="minorEastAsia"/>
          <w:sz w:val="24"/>
        </w:rPr>
        <w:t>；</w:t>
      </w:r>
      <w:r>
        <w:rPr>
          <w:rFonts w:asciiTheme="minorEastAsia" w:hAnsiTheme="minorEastAsia" w:eastAsiaTheme="minorEastAsia"/>
          <w:sz w:val="24"/>
        </w:rPr>
        <w:t>如果任何第三方提出侵权</w:t>
      </w:r>
      <w:r>
        <w:rPr>
          <w:rFonts w:hint="eastAsia" w:asciiTheme="minorEastAsia" w:hAnsiTheme="minorEastAsia" w:eastAsiaTheme="minorEastAsia"/>
          <w:sz w:val="24"/>
        </w:rPr>
        <w:t>指控</w:t>
      </w:r>
      <w:r>
        <w:rPr>
          <w:rFonts w:asciiTheme="minorEastAsia" w:hAnsiTheme="minorEastAsia" w:eastAsiaTheme="minorEastAsia"/>
          <w:sz w:val="24"/>
        </w:rPr>
        <w:t>，那么乙方须与该第三方交涉并承担由此发生的一切责任、费用和赔偿</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2.3.2具有知识产权的计算机软件等货物的知识产权归属，</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111" w:name="_Toc4194"/>
      <w:bookmarkStart w:id="112" w:name="_Toc11932"/>
      <w:bookmarkStart w:id="113" w:name="_Toc29149"/>
      <w:r>
        <w:rPr>
          <w:rFonts w:hint="eastAsia" w:asciiTheme="minorEastAsia" w:hAnsiTheme="minorEastAsia" w:eastAsiaTheme="minorEastAsia"/>
          <w:b/>
          <w:bCs/>
          <w:sz w:val="24"/>
          <w:lang w:val="zh-CN"/>
        </w:rPr>
        <w:t>2.4</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包装和装运</w:t>
      </w:r>
      <w:bookmarkEnd w:id="111"/>
      <w:bookmarkEnd w:id="112"/>
      <w:bookmarkEnd w:id="113"/>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2.4.1除</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2.4.2装运货物的要求和通知，详见</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14" w:name="_Toc259093674"/>
      <w:bookmarkStart w:id="115" w:name="_Toc279701245"/>
      <w:bookmarkStart w:id="116" w:name="_Ref467379536"/>
      <w:bookmarkStart w:id="117" w:name="_Ref467379542"/>
      <w:bookmarkStart w:id="118" w:name="_Ref467379527"/>
      <w:bookmarkStart w:id="119" w:name="_Ref467378541"/>
      <w:bookmarkStart w:id="120" w:name="_Toc487900354"/>
      <w:bookmarkStart w:id="121" w:name="_Ref467378591"/>
      <w:bookmarkStart w:id="122" w:name="_Toc26182"/>
      <w:bookmarkStart w:id="123" w:name="_Toc30272"/>
      <w:bookmarkStart w:id="124" w:name="_Toc19074"/>
      <w:r>
        <w:rPr>
          <w:rFonts w:hint="eastAsia" w:asciiTheme="minorEastAsia" w:hAnsiTheme="minorEastAsia" w:eastAsiaTheme="minorEastAsia"/>
          <w:b/>
          <w:bCs/>
          <w:sz w:val="24"/>
          <w:lang w:val="zh-CN"/>
        </w:rPr>
        <w:t>2.</w:t>
      </w:r>
      <w:bookmarkEnd w:id="114"/>
      <w:bookmarkEnd w:id="115"/>
      <w:bookmarkEnd w:id="116"/>
      <w:bookmarkEnd w:id="117"/>
      <w:bookmarkEnd w:id="118"/>
      <w:bookmarkEnd w:id="119"/>
      <w:bookmarkEnd w:id="120"/>
      <w:bookmarkEnd w:id="121"/>
      <w:r>
        <w:rPr>
          <w:rFonts w:hint="eastAsia" w:asciiTheme="minorEastAsia" w:hAnsiTheme="minorEastAsia" w:eastAsiaTheme="minorEastAsia"/>
          <w:b/>
          <w:bCs/>
          <w:sz w:val="24"/>
          <w:lang w:val="zh-CN"/>
        </w:rPr>
        <w:t>5</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履约检查和问题反馈</w:t>
      </w:r>
      <w:bookmarkEnd w:id="122"/>
      <w:bookmarkEnd w:id="123"/>
      <w:bookmarkEnd w:id="124"/>
    </w:p>
    <w:p>
      <w:pPr>
        <w:spacing w:line="360" w:lineRule="auto"/>
        <w:ind w:firstLine="435"/>
        <w:rPr>
          <w:rFonts w:asciiTheme="minorEastAsia" w:hAnsiTheme="minorEastAsia" w:eastAsiaTheme="minorEastAsia"/>
          <w:sz w:val="24"/>
        </w:rPr>
      </w:pPr>
      <w:bookmarkStart w:id="125" w:name="_Ref467379657"/>
      <w:r>
        <w:rPr>
          <w:rFonts w:hint="eastAsia" w:asciiTheme="minorEastAsia" w:hAnsiTheme="minorEastAsia" w:eastAsiaTheme="minorEastAsia"/>
          <w:sz w:val="24"/>
        </w:rPr>
        <w:t>2.5</w:t>
      </w:r>
      <w:r>
        <w:rPr>
          <w:rFonts w:asciiTheme="minorEastAsia" w:hAnsiTheme="minorEastAsia" w:eastAsiaTheme="minorEastAsia"/>
          <w:sz w:val="24"/>
        </w:rPr>
        <w:t>.1</w:t>
      </w:r>
      <w:bookmarkEnd w:id="125"/>
      <w:bookmarkStart w:id="126" w:name="_Toc186431854"/>
      <w:bookmarkStart w:id="127" w:name="_Toc279701247"/>
      <w:bookmarkStart w:id="128" w:name="_Toc259093676"/>
      <w:bookmarkStart w:id="129" w:name="_Toc487900357"/>
      <w:bookmarkStart w:id="130" w:name="_Ref467379793"/>
      <w:bookmarkStart w:id="131" w:name="_Ref467379807"/>
      <w:r>
        <w:rPr>
          <w:rFonts w:asciiTheme="minorEastAsia" w:hAnsiTheme="minorEastAsia" w:eastAsiaTheme="minorEastAsia"/>
          <w:sz w:val="24"/>
        </w:rPr>
        <w:t>甲方</w:t>
      </w:r>
      <w:r>
        <w:rPr>
          <w:rFonts w:hint="eastAsia" w:asciiTheme="minorEastAsia" w:hAnsiTheme="minorEastAsia" w:eastAsiaTheme="minorEastAsia"/>
          <w:sz w:val="24"/>
        </w:rPr>
        <w:t>有权</w:t>
      </w:r>
      <w:r>
        <w:rPr>
          <w:rFonts w:asciiTheme="minorEastAsia" w:hAnsiTheme="minorEastAsia" w:eastAsiaTheme="minorEastAsia"/>
          <w:sz w:val="24"/>
        </w:rPr>
        <w:t>在其认为必要时</w:t>
      </w:r>
      <w:r>
        <w:rPr>
          <w:rFonts w:hint="eastAsia" w:asciiTheme="minorEastAsia" w:hAnsiTheme="minorEastAsia" w:eastAsiaTheme="minorEastAsia"/>
          <w:sz w:val="24"/>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2.5.2合同履行期间，甲方有权将履行过程中出现的问题反馈给乙方，双方当事人应以书面形式约定需要完善和改进的内容</w:t>
      </w:r>
      <w:bookmarkEnd w:id="126"/>
      <w:bookmarkStart w:id="132" w:name="_Toc186431855"/>
      <w:r>
        <w:rPr>
          <w:rFonts w:hint="eastAsia" w:asciiTheme="minorEastAsia" w:hAnsiTheme="minorEastAsia" w:eastAsiaTheme="minorEastAsia"/>
          <w:sz w:val="24"/>
        </w:rPr>
        <w:t>。</w:t>
      </w:r>
    </w:p>
    <w:bookmarkEnd w:id="132"/>
    <w:p>
      <w:pPr>
        <w:spacing w:line="360" w:lineRule="auto"/>
        <w:ind w:firstLine="437"/>
        <w:outlineLvl w:val="2"/>
        <w:rPr>
          <w:rFonts w:asciiTheme="minorEastAsia" w:hAnsiTheme="minorEastAsia" w:eastAsiaTheme="minorEastAsia"/>
          <w:b/>
          <w:bCs/>
          <w:sz w:val="24"/>
          <w:lang w:val="zh-CN"/>
        </w:rPr>
      </w:pPr>
      <w:bookmarkStart w:id="133" w:name="_Toc28451"/>
      <w:bookmarkStart w:id="134" w:name="_Toc7836"/>
      <w:bookmarkStart w:id="135" w:name="_Toc19219"/>
      <w:r>
        <w:rPr>
          <w:rFonts w:hint="eastAsia" w:asciiTheme="minorEastAsia" w:hAnsiTheme="minorEastAsia" w:eastAsiaTheme="minorEastAsia"/>
          <w:b/>
          <w:bCs/>
          <w:sz w:val="24"/>
          <w:lang w:val="zh-CN"/>
        </w:rPr>
        <w:t xml:space="preserve">2.6 </w:t>
      </w:r>
      <w:r>
        <w:rPr>
          <w:rFonts w:asciiTheme="minorEastAsia" w:hAnsiTheme="minorEastAsia" w:eastAsiaTheme="minorEastAsia"/>
          <w:b/>
          <w:bCs/>
          <w:sz w:val="24"/>
          <w:lang w:val="zh-CN"/>
        </w:rPr>
        <w:t>结算方式和付款条件</w:t>
      </w:r>
      <w:bookmarkEnd w:id="127"/>
      <w:bookmarkEnd w:id="128"/>
      <w:bookmarkEnd w:id="129"/>
      <w:bookmarkEnd w:id="130"/>
      <w:bookmarkEnd w:id="131"/>
      <w:bookmarkEnd w:id="133"/>
      <w:bookmarkEnd w:id="134"/>
      <w:bookmarkEnd w:id="135"/>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36" w:name="_Toc279701248"/>
      <w:bookmarkStart w:id="137" w:name="_Toc259093677"/>
      <w:bookmarkStart w:id="138" w:name="_Ref467379863"/>
      <w:bookmarkStart w:id="139" w:name="_Toc487900358"/>
      <w:bookmarkStart w:id="140" w:name="_Ref467379852"/>
      <w:bookmarkStart w:id="141" w:name="_Ref467379923"/>
      <w:bookmarkStart w:id="142" w:name="_Toc774"/>
      <w:bookmarkStart w:id="143" w:name="_Toc16110"/>
      <w:bookmarkStart w:id="144" w:name="_Toc3225"/>
      <w:r>
        <w:rPr>
          <w:rFonts w:hint="eastAsia" w:asciiTheme="minorEastAsia" w:hAnsiTheme="minorEastAsia" w:eastAsiaTheme="minorEastAsia"/>
          <w:b/>
          <w:bCs/>
          <w:sz w:val="24"/>
          <w:lang w:val="zh-CN"/>
        </w:rPr>
        <w:t xml:space="preserve">2.7 </w:t>
      </w:r>
      <w:r>
        <w:rPr>
          <w:rFonts w:asciiTheme="minorEastAsia" w:hAnsiTheme="minorEastAsia" w:eastAsiaTheme="minorEastAsia"/>
          <w:b/>
          <w:bCs/>
          <w:sz w:val="24"/>
          <w:lang w:val="zh-CN"/>
        </w:rPr>
        <w:t>技术资料</w:t>
      </w:r>
      <w:bookmarkEnd w:id="136"/>
      <w:bookmarkEnd w:id="137"/>
      <w:bookmarkEnd w:id="138"/>
      <w:bookmarkEnd w:id="139"/>
      <w:bookmarkEnd w:id="140"/>
      <w:bookmarkEnd w:id="141"/>
      <w:r>
        <w:rPr>
          <w:rFonts w:asciiTheme="minorEastAsia" w:hAnsiTheme="minorEastAsia" w:eastAsiaTheme="minorEastAsia"/>
          <w:b/>
          <w:bCs/>
          <w:sz w:val="24"/>
          <w:lang w:val="zh-CN"/>
        </w:rPr>
        <w:t>和保密义务</w:t>
      </w:r>
      <w:bookmarkEnd w:id="142"/>
      <w:bookmarkEnd w:id="143"/>
      <w:bookmarkEnd w:id="144"/>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.1</w:t>
      </w:r>
      <w:r>
        <w:rPr>
          <w:rFonts w:hint="eastAsia" w:asciiTheme="minorEastAsia" w:hAnsiTheme="minorEastAsia" w:eastAsiaTheme="minorEastAsia"/>
          <w:sz w:val="24"/>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2.7.2乙方有义务妥善保管和保护由甲方提供的前款信息和资料等；</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w:t>
      </w:r>
      <w:r>
        <w:rPr>
          <w:rFonts w:hint="eastAsia" w:asciiTheme="minorEastAsia" w:hAnsiTheme="minorEastAsia" w:eastAsiaTheme="minorEastAsia"/>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sz w:val="24"/>
        </w:rPr>
        <w:t>技术情报</w:t>
      </w:r>
      <w:r>
        <w:rPr>
          <w:rFonts w:hint="eastAsia" w:asciiTheme="minorEastAsia" w:hAnsiTheme="minorEastAsia" w:eastAsiaTheme="minorEastAsia"/>
          <w:sz w:val="24"/>
        </w:rPr>
        <w:t>、</w:t>
      </w:r>
      <w:r>
        <w:rPr>
          <w:rFonts w:asciiTheme="minorEastAsia" w:hAnsiTheme="minorEastAsia" w:eastAsiaTheme="minorEastAsia"/>
          <w:sz w:val="24"/>
        </w:rPr>
        <w:t>技术资料</w:t>
      </w:r>
      <w:r>
        <w:rPr>
          <w:rFonts w:hint="eastAsia" w:asciiTheme="minorEastAsia" w:hAnsiTheme="minorEastAsia" w:eastAsiaTheme="minorEastAsia"/>
          <w:sz w:val="24"/>
        </w:rPr>
        <w:t>、商业秘密和商业信息等，并采取一切合理和必要措施和方式防止任何第三方接触到对方当事人的上述保密信息和资料。</w:t>
      </w:r>
    </w:p>
    <w:p>
      <w:pPr>
        <w:spacing w:line="360" w:lineRule="auto"/>
        <w:ind w:firstLine="437"/>
        <w:outlineLvl w:val="2"/>
        <w:rPr>
          <w:rFonts w:asciiTheme="minorEastAsia" w:hAnsiTheme="minorEastAsia" w:eastAsiaTheme="minorEastAsia"/>
          <w:b/>
          <w:bCs/>
          <w:sz w:val="24"/>
          <w:lang w:val="zh-CN"/>
        </w:rPr>
      </w:pPr>
      <w:bookmarkStart w:id="145" w:name="_Toc7860"/>
      <w:r>
        <w:rPr>
          <w:rFonts w:asciiTheme="minorEastAsia" w:hAnsiTheme="minorEastAsia" w:eastAsiaTheme="minorEastAsia"/>
          <w:b/>
          <w:bCs/>
          <w:sz w:val="24"/>
          <w:lang w:val="zh-CN"/>
        </w:rPr>
        <w:t>2.8 质量保证</w:t>
      </w:r>
      <w:bookmarkEnd w:id="14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asciiTheme="minorEastAsia" w:hAnsiTheme="minorEastAsia" w:eastAsiaTheme="minorEastAsia"/>
          <w:b/>
          <w:bCs/>
          <w:sz w:val="24"/>
          <w:lang w:val="zh-CN"/>
        </w:rPr>
      </w:pPr>
      <w:bookmarkStart w:id="146" w:name="_Toc17244"/>
      <w:bookmarkStart w:id="147" w:name="_Toc279701252"/>
      <w:bookmarkStart w:id="148" w:name="_Toc259093681"/>
      <w:bookmarkStart w:id="149" w:name="_Toc487900362"/>
      <w:r>
        <w:rPr>
          <w:rFonts w:asciiTheme="minorEastAsia" w:hAnsiTheme="minorEastAsia" w:eastAsiaTheme="minorEastAsia"/>
          <w:b/>
          <w:bCs/>
          <w:sz w:val="24"/>
          <w:lang w:val="zh-CN"/>
        </w:rPr>
        <w:t>2.9 货物的风险负担</w:t>
      </w:r>
      <w:bookmarkEnd w:id="146"/>
    </w:p>
    <w:p>
      <w:pPr>
        <w:spacing w:line="360" w:lineRule="auto"/>
        <w:ind w:firstLine="435"/>
        <w:rPr>
          <w:rFonts w:asciiTheme="minorEastAsia" w:hAnsiTheme="minorEastAsia" w:eastAsiaTheme="minorEastAsia"/>
          <w:b/>
          <w:sz w:val="24"/>
        </w:rPr>
      </w:pPr>
      <w:r>
        <w:rPr>
          <w:rFonts w:hint="eastAsia" w:asciiTheme="minorEastAsia" w:hAnsiTheme="minorEastAsia" w:eastAsiaTheme="minorEastAsia"/>
          <w:sz w:val="24"/>
        </w:rPr>
        <w:t>货物或者在途货物或者交付给第一承运人后的货物毁损、灭失的风险负担</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50" w:name="_Toc14055"/>
      <w:r>
        <w:rPr>
          <w:rFonts w:asciiTheme="minorEastAsia" w:hAnsiTheme="minorEastAsia" w:eastAsiaTheme="minorEastAsia"/>
          <w:b/>
          <w:bCs/>
          <w:sz w:val="24"/>
          <w:lang w:val="zh-CN"/>
        </w:rPr>
        <w:t>2.10 延迟交货</w:t>
      </w:r>
      <w:bookmarkEnd w:id="147"/>
      <w:bookmarkEnd w:id="148"/>
      <w:bookmarkEnd w:id="149"/>
      <w:bookmarkEnd w:id="150"/>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在合同履行过程中，如果乙方遇到不能按时交付货物的情况，应及时以书面形式将不能按时</w:t>
      </w:r>
      <w:r>
        <w:rPr>
          <w:rFonts w:hint="eastAsia" w:asciiTheme="minorEastAsia" w:hAnsiTheme="minorEastAsia" w:eastAsiaTheme="minorEastAsia"/>
          <w:sz w:val="24"/>
        </w:rPr>
        <w:t>交付货物</w:t>
      </w:r>
      <w:r>
        <w:rPr>
          <w:rFonts w:asciiTheme="minorEastAsia" w:hAnsiTheme="minorEastAsia" w:eastAsiaTheme="minorEastAsia"/>
          <w:sz w:val="24"/>
        </w:rPr>
        <w:t>的理由、预期延误时间通知甲方</w:t>
      </w:r>
      <w:r>
        <w:rPr>
          <w:rFonts w:hint="eastAsia" w:asciiTheme="minorEastAsia" w:hAnsiTheme="minorEastAsia" w:eastAsiaTheme="minorEastAsia"/>
          <w:sz w:val="24"/>
        </w:rPr>
        <w:t>；甲</w:t>
      </w:r>
      <w:r>
        <w:rPr>
          <w:rFonts w:asciiTheme="minorEastAsia" w:hAnsiTheme="minorEastAsia" w:eastAsiaTheme="minorEastAsia"/>
          <w:sz w:val="24"/>
        </w:rPr>
        <w:t>方收到乙方通知后，认为其理由正当的，可以书面形式酌情同意乙方可以延长交货的具体时间。</w:t>
      </w:r>
    </w:p>
    <w:p>
      <w:pPr>
        <w:spacing w:line="360" w:lineRule="auto"/>
        <w:ind w:firstLine="437"/>
        <w:outlineLvl w:val="2"/>
        <w:rPr>
          <w:rFonts w:asciiTheme="minorEastAsia" w:hAnsiTheme="minorEastAsia" w:eastAsiaTheme="minorEastAsia"/>
          <w:b/>
          <w:bCs/>
          <w:sz w:val="24"/>
          <w:lang w:val="zh-CN"/>
        </w:rPr>
      </w:pPr>
      <w:bookmarkStart w:id="151" w:name="_Toc7502"/>
      <w:bookmarkStart w:id="152" w:name="_Ref467378121"/>
      <w:bookmarkStart w:id="153" w:name="_Toc279701254"/>
      <w:bookmarkStart w:id="154" w:name="_Toc487900364"/>
      <w:bookmarkStart w:id="155" w:name="_Toc259093683"/>
      <w:r>
        <w:rPr>
          <w:rFonts w:asciiTheme="minorEastAsia" w:hAnsiTheme="minorEastAsia" w:eastAsiaTheme="minorEastAsia"/>
          <w:b/>
          <w:bCs/>
          <w:sz w:val="24"/>
          <w:lang w:val="zh-CN"/>
        </w:rPr>
        <w:t>2.11 合同变更</w:t>
      </w:r>
      <w:bookmarkEnd w:id="15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2.11.2合同继续履行将损害国家利益和社会公共利益的，双方当事人应当以书面形式变更合同。有过错的一方应当承担赔偿责任，双方当事人都有过错的，各自承担相应的责任。</w:t>
      </w:r>
      <w:bookmarkStart w:id="156" w:name="_Toc259093688"/>
      <w:bookmarkStart w:id="157" w:name="_Toc487900369"/>
      <w:bookmarkStart w:id="158" w:name="_Toc279701259"/>
    </w:p>
    <w:p>
      <w:pPr>
        <w:spacing w:line="360" w:lineRule="auto"/>
        <w:ind w:firstLine="437"/>
        <w:outlineLvl w:val="2"/>
        <w:rPr>
          <w:rFonts w:asciiTheme="minorEastAsia" w:hAnsiTheme="minorEastAsia" w:eastAsiaTheme="minorEastAsia"/>
          <w:b/>
          <w:bCs/>
          <w:sz w:val="24"/>
          <w:lang w:val="zh-CN"/>
        </w:rPr>
      </w:pPr>
      <w:bookmarkStart w:id="159" w:name="_Toc15237"/>
      <w:bookmarkStart w:id="160" w:name="_Toc22955"/>
      <w:bookmarkStart w:id="161" w:name="_Toc10366"/>
      <w:r>
        <w:rPr>
          <w:rFonts w:hint="eastAsia" w:asciiTheme="minorEastAsia" w:hAnsiTheme="minorEastAsia" w:eastAsiaTheme="minorEastAsia"/>
          <w:b/>
          <w:bCs/>
          <w:sz w:val="24"/>
          <w:lang w:val="zh-CN"/>
        </w:rPr>
        <w:t xml:space="preserve">2.12 </w:t>
      </w:r>
      <w:r>
        <w:rPr>
          <w:rFonts w:asciiTheme="minorEastAsia" w:hAnsiTheme="minorEastAsia" w:eastAsiaTheme="minorEastAsia"/>
          <w:b/>
          <w:bCs/>
          <w:sz w:val="24"/>
          <w:lang w:val="zh-CN"/>
        </w:rPr>
        <w:t>合同转让</w:t>
      </w:r>
      <w:bookmarkEnd w:id="156"/>
      <w:bookmarkEnd w:id="157"/>
      <w:bookmarkEnd w:id="158"/>
      <w:r>
        <w:rPr>
          <w:rFonts w:asciiTheme="minorEastAsia" w:hAnsiTheme="minorEastAsia" w:eastAsiaTheme="minorEastAsia"/>
          <w:b/>
          <w:bCs/>
          <w:sz w:val="24"/>
          <w:lang w:val="zh-CN"/>
        </w:rPr>
        <w:t>和分包</w:t>
      </w:r>
      <w:bookmarkEnd w:id="159"/>
      <w:bookmarkEnd w:id="160"/>
      <w:bookmarkEnd w:id="161"/>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合同的权利义务依法不</w:t>
      </w:r>
      <w:r>
        <w:rPr>
          <w:rFonts w:hint="eastAsia" w:asciiTheme="minorEastAsia" w:hAnsiTheme="minorEastAsia" w:eastAsiaTheme="minorEastAsia"/>
          <w:sz w:val="24"/>
        </w:rPr>
        <w:t>得</w:t>
      </w:r>
      <w:r>
        <w:rPr>
          <w:rFonts w:asciiTheme="minorEastAsia" w:hAnsiTheme="minorEastAsia" w:eastAsiaTheme="minorEastAsia"/>
          <w:sz w:val="24"/>
        </w:rPr>
        <w:t>转让</w:t>
      </w:r>
      <w:r>
        <w:rPr>
          <w:rFonts w:hint="eastAsia" w:asciiTheme="minorEastAsia" w:hAnsiTheme="minorEastAsia" w:eastAsiaTheme="minorEastAsia"/>
          <w:sz w:val="24"/>
        </w:rPr>
        <w:t>，</w:t>
      </w:r>
      <w:r>
        <w:rPr>
          <w:rFonts w:asciiTheme="minorEastAsia" w:hAnsiTheme="minorEastAsia" w:eastAsiaTheme="minorEastAsia"/>
          <w:sz w:val="24"/>
        </w:rPr>
        <w:t>但经甲方</w:t>
      </w:r>
      <w:r>
        <w:rPr>
          <w:rFonts w:hint="eastAsia" w:asciiTheme="minorEastAsia" w:hAnsiTheme="minorEastAsia" w:eastAsiaTheme="minorEastAsia"/>
          <w:sz w:val="24"/>
        </w:rPr>
        <w:t>同意，乙方可以依法采取分包方式履行合同，即：依法可以</w:t>
      </w:r>
      <w:r>
        <w:rPr>
          <w:rFonts w:asciiTheme="minorEastAsia" w:hAnsiTheme="minorEastAsia" w:eastAsiaTheme="minorEastAsia"/>
          <w:sz w:val="24"/>
        </w:rPr>
        <w:t>将合同项下的部分非主体、非关键性工作分包给他人完成</w:t>
      </w:r>
      <w:r>
        <w:rPr>
          <w:rFonts w:hint="eastAsia" w:asciiTheme="minorEastAsia" w:hAnsiTheme="minorEastAsia" w:eastAsiaTheme="minorEastAsia"/>
          <w:sz w:val="24"/>
        </w:rPr>
        <w:t>，</w:t>
      </w:r>
      <w:r>
        <w:rPr>
          <w:rFonts w:asciiTheme="minorEastAsia" w:hAnsiTheme="minorEastAsia" w:eastAsiaTheme="minorEastAsia"/>
          <w:sz w:val="24"/>
        </w:rPr>
        <w:t>接受分包的人应当具备相应的资格条件，并不得再次分包</w:t>
      </w:r>
      <w:r>
        <w:rPr>
          <w:rFonts w:hint="eastAsia" w:asciiTheme="minorEastAsia" w:hAnsiTheme="minorEastAsia" w:eastAsiaTheme="minorEastAsia"/>
          <w:sz w:val="24"/>
        </w:rPr>
        <w:t>，</w:t>
      </w:r>
      <w:r>
        <w:rPr>
          <w:rFonts w:asciiTheme="minorEastAsia" w:hAnsiTheme="minorEastAsia" w:eastAsiaTheme="minorEastAsia"/>
          <w:sz w:val="24"/>
        </w:rPr>
        <w:t>且乙方应就分包项目向甲方负责</w:t>
      </w:r>
      <w:r>
        <w:rPr>
          <w:rFonts w:hint="eastAsia" w:asciiTheme="minorEastAsia" w:hAnsiTheme="minorEastAsia" w:eastAsiaTheme="minorEastAsia"/>
          <w:sz w:val="24"/>
        </w:rPr>
        <w:t>，</w:t>
      </w:r>
      <w:r>
        <w:rPr>
          <w:rFonts w:asciiTheme="minorEastAsia" w:hAnsiTheme="minorEastAsia" w:eastAsiaTheme="minorEastAsia"/>
          <w:sz w:val="24"/>
        </w:rPr>
        <w:t>并</w:t>
      </w:r>
      <w:r>
        <w:rPr>
          <w:rFonts w:hint="eastAsia" w:asciiTheme="minorEastAsia" w:hAnsiTheme="minorEastAsia" w:eastAsiaTheme="minorEastAsia"/>
          <w:sz w:val="24"/>
        </w:rPr>
        <w:t>与分包供应商就分包项目向甲方承担连带责任。</w:t>
      </w:r>
    </w:p>
    <w:p>
      <w:pPr>
        <w:spacing w:line="360" w:lineRule="auto"/>
        <w:ind w:firstLine="437"/>
        <w:outlineLvl w:val="2"/>
        <w:rPr>
          <w:rFonts w:asciiTheme="minorEastAsia" w:hAnsiTheme="minorEastAsia" w:eastAsiaTheme="minorEastAsia"/>
          <w:b/>
          <w:bCs/>
          <w:sz w:val="24"/>
          <w:lang w:val="zh-CN"/>
        </w:rPr>
      </w:pPr>
      <w:bookmarkStart w:id="162" w:name="_Toc16508"/>
      <w:bookmarkStart w:id="163" w:name="_Toc14066"/>
      <w:bookmarkStart w:id="164" w:name="_Toc13566"/>
      <w:r>
        <w:rPr>
          <w:rFonts w:hint="eastAsia" w:asciiTheme="minorEastAsia" w:hAnsiTheme="minorEastAsia" w:eastAsiaTheme="minorEastAsia"/>
          <w:b/>
          <w:bCs/>
          <w:sz w:val="24"/>
          <w:lang w:val="zh-CN"/>
        </w:rPr>
        <w:t>2.13</w:t>
      </w:r>
      <w:r>
        <w:rPr>
          <w:rFonts w:asciiTheme="minorEastAsia" w:hAnsiTheme="minorEastAsia" w:eastAsiaTheme="minorEastAsia"/>
          <w:b/>
          <w:bCs/>
          <w:sz w:val="24"/>
          <w:lang w:val="zh-CN"/>
        </w:rPr>
        <w:t xml:space="preserve"> 不可抗力</w:t>
      </w:r>
      <w:bookmarkEnd w:id="162"/>
      <w:bookmarkEnd w:id="163"/>
      <w:bookmarkEnd w:id="164"/>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2.13.2因不可抗力致使不能实现合同目的的，当事人可以解除合同；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2.13.3因</w:t>
      </w:r>
      <w:r>
        <w:rPr>
          <w:rFonts w:asciiTheme="minorEastAsia" w:hAnsiTheme="minorEastAsia" w:eastAsiaTheme="minorEastAsia"/>
          <w:sz w:val="24"/>
        </w:rPr>
        <w:t>不可抗力致使合同有变更必要的，双方当事人应在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约定时间内以书面形式变更合同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受</w:t>
      </w:r>
      <w:r>
        <w:rPr>
          <w:rFonts w:hint="eastAsia" w:asciiTheme="minorEastAsia" w:hAnsiTheme="minorEastAsia" w:eastAsiaTheme="minorEastAsia"/>
          <w:sz w:val="24"/>
        </w:rPr>
        <w:t>不可抗力</w:t>
      </w:r>
      <w:r>
        <w:rPr>
          <w:rFonts w:asciiTheme="minorEastAsia" w:hAnsiTheme="minorEastAsia" w:eastAsiaTheme="minorEastAsia"/>
          <w:sz w:val="24"/>
        </w:rPr>
        <w:t>影响的一方在不可抗力发生后</w:t>
      </w:r>
      <w:r>
        <w:rPr>
          <w:rFonts w:hint="eastAsia" w:asciiTheme="minorEastAsia" w:hAnsiTheme="minorEastAsia" w:eastAsiaTheme="minorEastAsia"/>
          <w:sz w:val="24"/>
        </w:rPr>
        <w:t>，</w:t>
      </w:r>
      <w:r>
        <w:rPr>
          <w:rFonts w:asciiTheme="minorEastAsia" w:hAnsiTheme="minorEastAsia" w:eastAsiaTheme="minorEastAsia"/>
          <w:sz w:val="24"/>
        </w:rPr>
        <w:t>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约定时间内以书面形式通知</w:t>
      </w:r>
      <w:r>
        <w:rPr>
          <w:rFonts w:hint="eastAsia" w:asciiTheme="minorEastAsia" w:hAnsiTheme="minorEastAsia" w:eastAsiaTheme="minorEastAsia"/>
          <w:sz w:val="24"/>
        </w:rPr>
        <w:t>对</w:t>
      </w:r>
      <w:r>
        <w:rPr>
          <w:rFonts w:asciiTheme="minorEastAsia" w:hAnsiTheme="minorEastAsia" w:eastAsiaTheme="minorEastAsia"/>
          <w:sz w:val="24"/>
        </w:rPr>
        <w:t>方当事人，并在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约定时间内，将有关部门出具的证明文件送达</w:t>
      </w:r>
      <w:r>
        <w:rPr>
          <w:rFonts w:hint="eastAsia" w:asciiTheme="minorEastAsia" w:hAnsiTheme="minorEastAsia" w:eastAsiaTheme="minorEastAsia"/>
          <w:sz w:val="24"/>
        </w:rPr>
        <w:t>对方当事人</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65" w:name="_Toc279701255"/>
      <w:bookmarkStart w:id="166" w:name="_Toc30676"/>
      <w:bookmarkStart w:id="167" w:name="_Toc259093684"/>
      <w:bookmarkStart w:id="168" w:name="_Toc487900365"/>
      <w:bookmarkStart w:id="169" w:name="_Toc689"/>
      <w:bookmarkStart w:id="170" w:name="_Toc6969"/>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4 </w:t>
      </w:r>
      <w:r>
        <w:rPr>
          <w:rFonts w:asciiTheme="minorEastAsia" w:hAnsiTheme="minorEastAsia" w:eastAsiaTheme="minorEastAsia"/>
          <w:b/>
          <w:bCs/>
          <w:sz w:val="24"/>
          <w:lang w:val="zh-CN"/>
        </w:rPr>
        <w:t>税费</w:t>
      </w:r>
      <w:bookmarkEnd w:id="165"/>
      <w:bookmarkEnd w:id="166"/>
      <w:bookmarkEnd w:id="167"/>
      <w:bookmarkEnd w:id="168"/>
      <w:bookmarkEnd w:id="169"/>
      <w:bookmarkEnd w:id="170"/>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与合同有关的一切税费</w:t>
      </w:r>
      <w:r>
        <w:rPr>
          <w:rFonts w:hint="eastAsia" w:asciiTheme="minorEastAsia" w:hAnsiTheme="minorEastAsia" w:eastAsiaTheme="minorEastAsia"/>
          <w:sz w:val="24"/>
        </w:rPr>
        <w:t>，</w:t>
      </w:r>
      <w:r>
        <w:rPr>
          <w:rFonts w:asciiTheme="minorEastAsia" w:hAnsiTheme="minorEastAsia" w:eastAsiaTheme="minorEastAsia"/>
          <w:sz w:val="24"/>
        </w:rPr>
        <w:t>均按照中华人民共和国法律的相关规定</w:t>
      </w:r>
      <w:r>
        <w:rPr>
          <w:rFonts w:hint="eastAsia" w:asciiTheme="minorEastAsia" w:hAnsiTheme="minorEastAsia" w:eastAsiaTheme="minorEastAsia"/>
          <w:sz w:val="24"/>
        </w:rPr>
        <w:t>缴纳</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71" w:name="_Toc16959"/>
      <w:bookmarkStart w:id="172" w:name="_Toc259093687"/>
      <w:bookmarkStart w:id="173" w:name="_Toc487900368"/>
      <w:bookmarkStart w:id="174" w:name="_Toc8298"/>
      <w:bookmarkStart w:id="175" w:name="_Toc279701258"/>
      <w:bookmarkStart w:id="176" w:name="_Toc7102"/>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5 </w:t>
      </w:r>
      <w:r>
        <w:rPr>
          <w:rFonts w:asciiTheme="minorEastAsia" w:hAnsiTheme="minorEastAsia" w:eastAsiaTheme="minorEastAsia"/>
          <w:b/>
          <w:bCs/>
          <w:sz w:val="24"/>
          <w:lang w:val="zh-CN"/>
        </w:rPr>
        <w:t>乙方破产</w:t>
      </w:r>
      <w:bookmarkEnd w:id="171"/>
      <w:bookmarkEnd w:id="172"/>
      <w:bookmarkEnd w:id="173"/>
      <w:bookmarkEnd w:id="174"/>
      <w:bookmarkEnd w:id="175"/>
      <w:bookmarkEnd w:id="176"/>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如果乙方破产导致合同无法履行时，甲方可以书面形式通知乙方终止合同且不给予乙方任何补偿和赔偿</w:t>
      </w:r>
      <w:r>
        <w:rPr>
          <w:rFonts w:hint="eastAsia" w:asciiTheme="minorEastAsia" w:hAnsiTheme="minorEastAsia" w:eastAsiaTheme="minorEastAsia"/>
          <w:sz w:val="24"/>
        </w:rPr>
        <w:t>，但合同的</w:t>
      </w:r>
      <w:r>
        <w:rPr>
          <w:rFonts w:asciiTheme="minorEastAsia" w:hAnsiTheme="minorEastAsia" w:eastAsiaTheme="minorEastAsia"/>
          <w:sz w:val="24"/>
        </w:rPr>
        <w:t>终止不损害或不影响甲方已经采取或将要采取的任何要求乙方支付违约金</w:t>
      </w:r>
      <w:r>
        <w:rPr>
          <w:rFonts w:hint="eastAsia" w:asciiTheme="minorEastAsia" w:hAnsiTheme="minorEastAsia" w:eastAsiaTheme="minorEastAsia"/>
          <w:sz w:val="24"/>
        </w:rPr>
        <w:t>、</w:t>
      </w:r>
      <w:r>
        <w:rPr>
          <w:rFonts w:asciiTheme="minorEastAsia" w:hAnsiTheme="minorEastAsia" w:eastAsiaTheme="minorEastAsia"/>
          <w:sz w:val="24"/>
        </w:rPr>
        <w:t>赔偿损失等的行动或补救措施的权利</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177" w:name="_Toc6134"/>
      <w:bookmarkStart w:id="178" w:name="_Toc29333"/>
      <w:bookmarkStart w:id="179" w:name="_Toc15387"/>
      <w:r>
        <w:rPr>
          <w:rFonts w:hint="eastAsia" w:asciiTheme="minorEastAsia" w:hAnsiTheme="minorEastAsia" w:eastAsiaTheme="minorEastAsia"/>
          <w:b/>
          <w:bCs/>
          <w:sz w:val="24"/>
          <w:lang w:val="zh-CN"/>
        </w:rPr>
        <w:t>2.16 合同中止、终止</w:t>
      </w:r>
      <w:bookmarkEnd w:id="177"/>
      <w:bookmarkEnd w:id="178"/>
      <w:bookmarkEnd w:id="17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2.16.1双方当事人不得擅自中止或者终止合同；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Theme="minorEastAsia" w:hAnsiTheme="minorEastAsia" w:eastAsiaTheme="minorEastAsia"/>
          <w:b/>
          <w:bCs/>
          <w:sz w:val="24"/>
          <w:lang w:val="zh-CN"/>
        </w:rPr>
      </w:pPr>
      <w:bookmarkStart w:id="180" w:name="_Toc14563"/>
      <w:bookmarkStart w:id="181" w:name="_Toc6596"/>
      <w:bookmarkStart w:id="182" w:name="_Toc1125"/>
      <w:r>
        <w:rPr>
          <w:rFonts w:hint="eastAsia" w:asciiTheme="minorEastAsia" w:hAnsiTheme="minorEastAsia" w:eastAsiaTheme="minorEastAsia"/>
          <w:b/>
          <w:bCs/>
          <w:sz w:val="24"/>
          <w:lang w:val="zh-CN"/>
        </w:rPr>
        <w:t>2.17 检验和验收</w:t>
      </w:r>
      <w:bookmarkEnd w:id="180"/>
      <w:bookmarkEnd w:id="181"/>
      <w:bookmarkEnd w:id="182"/>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1货物交付前，乙方应对货物的质量、数量等方面进行详细、全面的检验，并向甲方出具证明货物符合合同约定的文件；货物交付时，乙方在</w:t>
      </w:r>
      <w:r>
        <w:rPr>
          <w:rFonts w:hint="eastAsia" w:asciiTheme="minorEastAsia" w:hAnsiTheme="minorEastAsia" w:eastAsiaTheme="minorEastAsia"/>
          <w:b/>
          <w:i/>
          <w:sz w:val="24"/>
          <w:u w:val="single"/>
        </w:rPr>
        <w:t>合同专用条款</w:t>
      </w:r>
      <w:r>
        <w:rPr>
          <w:rFonts w:hint="eastAsia" w:asciiTheme="minorEastAsia" w:hAnsiTheme="minorEastAsia" w:eastAsiaTheme="minorEastAsia"/>
          <w:sz w:val="24"/>
        </w:rPr>
        <w:t>约定时间内组织验收，并可依法邀请相关方参加，验收应出具验收书。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2.17.3检验和验收标准、程序等具体内容以及前述验收书的效力详见</w:t>
      </w:r>
      <w:r>
        <w:rPr>
          <w:rFonts w:asciiTheme="minorEastAsia" w:hAnsiTheme="minorEastAsia" w:eastAsiaTheme="minorEastAsia"/>
          <w:b/>
          <w:i/>
          <w:sz w:val="24"/>
          <w:u w:val="single"/>
        </w:rPr>
        <w:t>合同专用条款</w:t>
      </w:r>
      <w:r>
        <w:rPr>
          <w:rFonts w:hint="eastAsia" w:asciiTheme="minorEastAsia" w:hAnsiTheme="minorEastAsia" w:eastAsiaTheme="minorEastAsia"/>
          <w:i/>
          <w:sz w:val="24"/>
        </w:rPr>
        <w:t>。</w:t>
      </w:r>
    </w:p>
    <w:bookmarkEnd w:id="152"/>
    <w:bookmarkEnd w:id="153"/>
    <w:bookmarkEnd w:id="154"/>
    <w:bookmarkEnd w:id="155"/>
    <w:p>
      <w:pPr>
        <w:spacing w:line="360" w:lineRule="auto"/>
        <w:ind w:firstLine="437"/>
        <w:outlineLvl w:val="2"/>
        <w:rPr>
          <w:rFonts w:asciiTheme="minorEastAsia" w:hAnsiTheme="minorEastAsia" w:eastAsiaTheme="minorEastAsia"/>
          <w:b/>
          <w:sz w:val="24"/>
        </w:rPr>
      </w:pPr>
      <w:bookmarkStart w:id="183" w:name="_Toc4355"/>
      <w:bookmarkStart w:id="184" w:name="_Toc18540"/>
      <w:bookmarkStart w:id="185" w:name="_Toc487900372"/>
      <w:bookmarkStart w:id="186" w:name="_Toc279701262"/>
      <w:bookmarkStart w:id="187" w:name="_Toc30599"/>
      <w:bookmarkStart w:id="188" w:name="_Toc259093691"/>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8</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计量单位</w:t>
      </w:r>
      <w:bookmarkEnd w:id="183"/>
      <w:bookmarkEnd w:id="184"/>
      <w:bookmarkEnd w:id="185"/>
      <w:bookmarkEnd w:id="186"/>
      <w:bookmarkEnd w:id="187"/>
      <w:bookmarkEnd w:id="188"/>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除技术规范中另有规定外,合同的计量单位均使用国家法定计量单位。</w:t>
      </w:r>
    </w:p>
    <w:p>
      <w:pPr>
        <w:spacing w:line="360" w:lineRule="auto"/>
        <w:ind w:firstLine="437"/>
        <w:outlineLvl w:val="2"/>
        <w:rPr>
          <w:rFonts w:asciiTheme="minorEastAsia" w:hAnsiTheme="minorEastAsia" w:eastAsiaTheme="minorEastAsia"/>
          <w:b/>
          <w:bCs/>
          <w:sz w:val="24"/>
        </w:rPr>
      </w:pPr>
      <w:bookmarkStart w:id="189" w:name="_Toc18567"/>
      <w:bookmarkStart w:id="190" w:name="_Toc279701263"/>
      <w:bookmarkStart w:id="191" w:name="_Toc259093692"/>
      <w:bookmarkStart w:id="192" w:name="_Toc12773"/>
      <w:bookmarkStart w:id="193" w:name="_Toc487900373"/>
      <w:bookmarkStart w:id="194" w:name="_Toc10330"/>
      <w:r>
        <w:rPr>
          <w:rFonts w:hint="eastAsia" w:asciiTheme="minorEastAsia" w:hAnsiTheme="minorEastAsia" w:eastAsiaTheme="minorEastAsia"/>
          <w:b/>
          <w:bCs/>
          <w:sz w:val="24"/>
        </w:rPr>
        <w:t>2.</w:t>
      </w:r>
      <w:r>
        <w:rPr>
          <w:rFonts w:asciiTheme="minorEastAsia" w:hAnsiTheme="minorEastAsia" w:eastAsiaTheme="minorEastAsia"/>
          <w:b/>
          <w:bCs/>
          <w:sz w:val="24"/>
        </w:rPr>
        <w:t>19</w:t>
      </w:r>
      <w:r>
        <w:rPr>
          <w:rFonts w:hint="eastAsia" w:asciiTheme="minorEastAsia" w:hAnsiTheme="minorEastAsia" w:eastAsiaTheme="minorEastAsia"/>
          <w:b/>
          <w:bCs/>
          <w:sz w:val="24"/>
        </w:rPr>
        <w:t xml:space="preserve"> </w:t>
      </w:r>
      <w:r>
        <w:rPr>
          <w:rFonts w:hint="eastAsia" w:asciiTheme="minorEastAsia" w:hAnsiTheme="minorEastAsia" w:eastAsiaTheme="minorEastAsia"/>
          <w:b/>
          <w:bCs/>
          <w:sz w:val="24"/>
          <w:lang w:val="zh-CN"/>
        </w:rPr>
        <w:t>合同使用的文字和</w:t>
      </w:r>
      <w:r>
        <w:rPr>
          <w:rFonts w:asciiTheme="minorEastAsia" w:hAnsiTheme="minorEastAsia" w:eastAsiaTheme="minorEastAsia"/>
          <w:b/>
          <w:bCs/>
          <w:sz w:val="24"/>
          <w:lang w:val="zh-CN"/>
        </w:rPr>
        <w:t>适用的法律</w:t>
      </w:r>
      <w:bookmarkEnd w:id="189"/>
      <w:bookmarkEnd w:id="190"/>
      <w:bookmarkEnd w:id="191"/>
      <w:bookmarkEnd w:id="192"/>
      <w:bookmarkEnd w:id="193"/>
      <w:bookmarkEnd w:id="194"/>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19.1合同使用汉语书就</w:t>
      </w:r>
      <w:r>
        <w:rPr>
          <w:rFonts w:hint="eastAsia" w:asciiTheme="minorEastAsia" w:hAnsiTheme="minorEastAsia" w:eastAsiaTheme="minorEastAsia"/>
          <w:sz w:val="24"/>
        </w:rPr>
        <w:t>、</w:t>
      </w:r>
      <w:r>
        <w:rPr>
          <w:rFonts w:asciiTheme="minorEastAsia" w:hAnsiTheme="minorEastAsia" w:eastAsiaTheme="minorEastAsia"/>
          <w:sz w:val="24"/>
        </w:rPr>
        <w:t>变更和解释</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w:t>
      </w:r>
      <w:r>
        <w:rPr>
          <w:rFonts w:hint="eastAsia" w:asciiTheme="minorEastAsia" w:hAnsiTheme="minorEastAsia" w:eastAsiaTheme="minorEastAsia"/>
          <w:sz w:val="24"/>
        </w:rPr>
        <w:t>.2合同适用</w:t>
      </w:r>
      <w:r>
        <w:rPr>
          <w:rFonts w:asciiTheme="minorEastAsia" w:hAnsiTheme="minorEastAsia" w:eastAsiaTheme="minorEastAsia"/>
          <w:sz w:val="24"/>
        </w:rPr>
        <w:t>中华人民共和国法律。</w:t>
      </w:r>
    </w:p>
    <w:p>
      <w:pPr>
        <w:spacing w:line="360" w:lineRule="auto"/>
        <w:ind w:firstLine="437"/>
        <w:outlineLvl w:val="2"/>
        <w:rPr>
          <w:rFonts w:asciiTheme="minorEastAsia" w:hAnsiTheme="minorEastAsia" w:eastAsiaTheme="minorEastAsia"/>
          <w:b/>
          <w:sz w:val="24"/>
        </w:rPr>
      </w:pPr>
      <w:bookmarkStart w:id="195" w:name="_Toc3148"/>
      <w:bookmarkStart w:id="196" w:name="_Toc279701264"/>
      <w:bookmarkStart w:id="197" w:name="_Toc259093693"/>
      <w:bookmarkStart w:id="198" w:name="_Toc12004"/>
      <w:bookmarkStart w:id="199" w:name="_Toc16673"/>
      <w:bookmarkStart w:id="200" w:name="_Toc487900374"/>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0</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履约保证金</w:t>
      </w:r>
      <w:bookmarkEnd w:id="195"/>
      <w:bookmarkEnd w:id="196"/>
      <w:bookmarkEnd w:id="197"/>
      <w:bookmarkEnd w:id="198"/>
      <w:bookmarkEnd w:id="19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.1采购文件要求乙方提交履约保证金的，乙方</w:t>
      </w:r>
      <w:r>
        <w:rPr>
          <w:rFonts w:asciiTheme="minorEastAsia" w:hAnsiTheme="minorEastAsia" w:eastAsiaTheme="minorEastAsia"/>
          <w:sz w:val="24"/>
        </w:rPr>
        <w:t>应按</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约定的方式</w:t>
      </w:r>
      <w:r>
        <w:rPr>
          <w:rFonts w:hint="eastAsia" w:asciiTheme="minorEastAsia" w:hAnsiTheme="minorEastAsia" w:eastAsiaTheme="minorEastAsia"/>
          <w:sz w:val="24"/>
        </w:rPr>
        <w:t>，以支票、汇票、本票或者金融机构、担保机构出具的保函等非现金形式提交；</w:t>
      </w:r>
    </w:p>
    <w:p>
      <w:pPr>
        <w:spacing w:line="360" w:lineRule="auto"/>
        <w:ind w:firstLine="435"/>
        <w:rPr>
          <w:rFonts w:asciiTheme="minorEastAsia" w:hAnsiTheme="minorEastAsia" w:eastAsiaTheme="minorEastAsia"/>
          <w:sz w:val="24"/>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2.2</w:t>
      </w:r>
      <w:r>
        <w:rPr>
          <w:rFonts w:cs="Times New Roman" w:asciiTheme="minorEastAsia" w:hAnsiTheme="minorEastAsia" w:eastAsiaTheme="minorEastAsia"/>
          <w:color w:val="000000" w:themeColor="text1"/>
          <w:sz w:val="24"/>
          <w:szCs w:val="24"/>
          <w:highlight w:val="none"/>
          <w14:textFill>
            <w14:solidFill>
              <w14:schemeClr w14:val="tx1"/>
            </w14:solidFill>
          </w14:textFill>
        </w:rPr>
        <w:t>0.2履约保证金在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.3</w:t>
      </w:r>
      <w:r>
        <w:rPr>
          <w:rFonts w:asciiTheme="minorEastAsia" w:hAnsiTheme="minorEastAsia" w:eastAsiaTheme="minorEastAsia"/>
          <w:sz w:val="24"/>
        </w:rPr>
        <w:t>如果乙方不履行合同</w:t>
      </w:r>
      <w:r>
        <w:rPr>
          <w:rFonts w:hint="eastAsia" w:asciiTheme="minorEastAsia" w:hAnsiTheme="minorEastAsia" w:eastAsiaTheme="minorEastAsia"/>
          <w:sz w:val="24"/>
        </w:rPr>
        <w:t>，履约保证金不予退还；如果乙方</w:t>
      </w:r>
      <w:r>
        <w:rPr>
          <w:rFonts w:asciiTheme="minorEastAsia" w:hAnsiTheme="minorEastAsia" w:eastAsiaTheme="minorEastAsia"/>
          <w:sz w:val="24"/>
        </w:rPr>
        <w:t>未能按合同</w:t>
      </w:r>
      <w:r>
        <w:rPr>
          <w:rFonts w:hint="eastAsia" w:asciiTheme="minorEastAsia" w:hAnsiTheme="minorEastAsia" w:eastAsiaTheme="minorEastAsia"/>
          <w:sz w:val="24"/>
        </w:rPr>
        <w:t>约</w:t>
      </w:r>
      <w:r>
        <w:rPr>
          <w:rFonts w:asciiTheme="minorEastAsia" w:hAnsiTheme="minorEastAsia" w:eastAsiaTheme="minorEastAsia"/>
          <w:sz w:val="24"/>
        </w:rPr>
        <w:t>定全面履行义务，那么甲方有权从履约保证金中取得补偿或赔偿</w:t>
      </w:r>
      <w:r>
        <w:rPr>
          <w:rFonts w:hint="eastAsia" w:asciiTheme="minorEastAsia" w:hAnsiTheme="minorEastAsia" w:eastAsiaTheme="minorEastAsia"/>
          <w:sz w:val="24"/>
        </w:rPr>
        <w:t>，同时不影响甲方要求乙方承担合同约定的超过履约保证金的违约责任的权利。</w:t>
      </w:r>
    </w:p>
    <w:bookmarkEnd w:id="200"/>
    <w:p>
      <w:pPr>
        <w:spacing w:line="360" w:lineRule="auto"/>
        <w:ind w:firstLine="437"/>
        <w:outlineLvl w:val="2"/>
        <w:rPr>
          <w:rFonts w:asciiTheme="minorEastAsia" w:hAnsiTheme="minorEastAsia" w:eastAsiaTheme="minorEastAsia"/>
          <w:b/>
          <w:sz w:val="24"/>
        </w:rPr>
      </w:pPr>
      <w:bookmarkStart w:id="201" w:name="_Toc19890"/>
      <w:bookmarkStart w:id="202" w:name="_Toc6885"/>
      <w:bookmarkStart w:id="203" w:name="_Toc14001"/>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 合同份数</w:t>
      </w:r>
      <w:bookmarkEnd w:id="201"/>
      <w:bookmarkEnd w:id="202"/>
      <w:bookmarkEnd w:id="203"/>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合同份数按</w:t>
      </w:r>
      <w:r>
        <w:rPr>
          <w:rFonts w:asciiTheme="minorEastAsia" w:hAnsiTheme="minorEastAsia" w:eastAsiaTheme="minorEastAsia"/>
          <w:b/>
          <w:i/>
          <w:sz w:val="24"/>
          <w:u w:val="single"/>
        </w:rPr>
        <w:t>合同专用条款</w:t>
      </w:r>
      <w:r>
        <w:rPr>
          <w:rFonts w:asciiTheme="minorEastAsia" w:hAnsiTheme="minorEastAsia" w:eastAsiaTheme="minorEastAsia"/>
          <w:sz w:val="24"/>
        </w:rPr>
        <w:t>规定</w:t>
      </w:r>
      <w:r>
        <w:rPr>
          <w:rFonts w:hint="eastAsia" w:asciiTheme="minorEastAsia" w:hAnsiTheme="minorEastAsia" w:eastAsiaTheme="minorEastAsia"/>
          <w:sz w:val="24"/>
        </w:rPr>
        <w:t>，</w:t>
      </w:r>
      <w:r>
        <w:rPr>
          <w:rFonts w:asciiTheme="minorEastAsia" w:hAnsiTheme="minorEastAsia" w:eastAsiaTheme="minorEastAsia"/>
          <w:sz w:val="24"/>
        </w:rPr>
        <w:t>每份均具有同等法律效力</w:t>
      </w:r>
      <w:r>
        <w:rPr>
          <w:rFonts w:hint="eastAsia" w:asciiTheme="minorEastAsia" w:hAnsiTheme="minorEastAsia" w:eastAsiaTheme="minorEastAsia"/>
          <w:sz w:val="24"/>
        </w:rPr>
        <w:t>。</w:t>
      </w:r>
    </w:p>
    <w:p>
      <w:pPr>
        <w:spacing w:line="360" w:lineRule="auto"/>
        <w:jc w:val="center"/>
        <w:outlineLvl w:val="1"/>
        <w:rPr>
          <w:rFonts w:asciiTheme="minorEastAsia" w:hAnsiTheme="minorEastAsia" w:eastAsiaTheme="minorEastAsia"/>
          <w:b/>
          <w:sz w:val="24"/>
        </w:rPr>
      </w:pPr>
      <w:r>
        <w:rPr>
          <w:rFonts w:asciiTheme="minorEastAsia" w:hAnsiTheme="minorEastAsia" w:eastAsiaTheme="minorEastAsia"/>
          <w:sz w:val="24"/>
        </w:rPr>
        <w:br w:type="page"/>
      </w:r>
      <w:bookmarkStart w:id="204" w:name="_Toc331685784"/>
      <w:bookmarkStart w:id="205" w:name="_Toc21592"/>
      <w:r>
        <w:rPr>
          <w:rFonts w:hint="eastAsia" w:asciiTheme="minorEastAsia" w:hAnsiTheme="minorEastAsia" w:eastAsiaTheme="minorEastAsia"/>
          <w:b/>
          <w:sz w:val="24"/>
        </w:rPr>
        <w:t>第三部分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合同专用条款</w:t>
      </w:r>
      <w:bookmarkEnd w:id="204"/>
      <w:bookmarkEnd w:id="20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本部分</w:t>
      </w:r>
      <w:r>
        <w:rPr>
          <w:rFonts w:asciiTheme="minorEastAsia" w:hAnsiTheme="minorEastAsia" w:eastAsiaTheme="minorEastAsia"/>
          <w:sz w:val="24"/>
        </w:rPr>
        <w:t>是对</w:t>
      </w:r>
      <w:r>
        <w:rPr>
          <w:rFonts w:hint="eastAsia" w:asciiTheme="minorEastAsia" w:hAnsiTheme="minorEastAsia" w:eastAsiaTheme="minorEastAsia"/>
          <w:sz w:val="24"/>
        </w:rPr>
        <w:t>前两</w:t>
      </w:r>
      <w:r>
        <w:rPr>
          <w:rFonts w:asciiTheme="minorEastAsia" w:hAnsiTheme="minorEastAsia" w:eastAsiaTheme="minorEastAsia"/>
          <w:sz w:val="24"/>
        </w:rPr>
        <w:t>部分的补充和修改</w:t>
      </w:r>
      <w:r>
        <w:rPr>
          <w:rFonts w:hint="eastAsia" w:asciiTheme="minorEastAsia" w:hAnsiTheme="minorEastAsia" w:eastAsiaTheme="minorEastAsia"/>
          <w:sz w:val="24"/>
        </w:rPr>
        <w:t>，</w:t>
      </w:r>
      <w:r>
        <w:rPr>
          <w:rFonts w:asciiTheme="minorEastAsia" w:hAnsiTheme="minorEastAsia" w:eastAsiaTheme="minorEastAsia"/>
          <w:sz w:val="24"/>
        </w:rPr>
        <w:t>如果</w:t>
      </w:r>
      <w:r>
        <w:rPr>
          <w:rFonts w:hint="eastAsia" w:asciiTheme="minorEastAsia" w:hAnsiTheme="minorEastAsia" w:eastAsiaTheme="minorEastAsia"/>
          <w:sz w:val="24"/>
        </w:rPr>
        <w:t>前两</w:t>
      </w:r>
      <w:r>
        <w:rPr>
          <w:rFonts w:asciiTheme="minorEastAsia" w:hAnsiTheme="minorEastAsia" w:eastAsiaTheme="minorEastAsia"/>
          <w:sz w:val="24"/>
        </w:rPr>
        <w:t>部分和本部分的约定不一致</w:t>
      </w:r>
      <w:r>
        <w:rPr>
          <w:rFonts w:hint="eastAsia" w:asciiTheme="minorEastAsia" w:hAnsiTheme="minorEastAsia" w:eastAsiaTheme="minorEastAsia"/>
          <w:sz w:val="24"/>
        </w:rPr>
        <w:t>，</w:t>
      </w:r>
      <w:r>
        <w:rPr>
          <w:rFonts w:asciiTheme="minorEastAsia" w:hAnsiTheme="minorEastAsia" w:eastAsiaTheme="minorEastAsia"/>
          <w:sz w:val="24"/>
        </w:rPr>
        <w:t>应以本部分的约定为准</w:t>
      </w:r>
      <w:r>
        <w:rPr>
          <w:rFonts w:hint="eastAsia" w:asciiTheme="minorEastAsia" w:hAnsiTheme="minorEastAsia" w:eastAsiaTheme="minorEastAsia"/>
          <w:sz w:val="24"/>
        </w:rPr>
        <w:t>。</w:t>
      </w:r>
      <w:r>
        <w:rPr>
          <w:rFonts w:asciiTheme="minorEastAsia" w:hAnsiTheme="minorEastAsia" w:eastAsiaTheme="minorEastAsia"/>
          <w:sz w:val="24"/>
        </w:rPr>
        <w:t>本部分的条款号应与</w:t>
      </w:r>
      <w:r>
        <w:rPr>
          <w:rFonts w:hint="eastAsia" w:asciiTheme="minorEastAsia" w:hAnsiTheme="minorEastAsia" w:eastAsiaTheme="minorEastAsia"/>
          <w:sz w:val="24"/>
        </w:rPr>
        <w:t>前两部分</w:t>
      </w:r>
      <w:r>
        <w:rPr>
          <w:rFonts w:asciiTheme="minorEastAsia" w:hAnsiTheme="minorEastAsia" w:eastAsiaTheme="minorEastAsia"/>
          <w:sz w:val="24"/>
        </w:rPr>
        <w:t>的条款号保持对应</w:t>
      </w:r>
      <w:r>
        <w:rPr>
          <w:rFonts w:hint="eastAsia" w:asciiTheme="minorEastAsia" w:hAnsiTheme="minorEastAsia" w:eastAsiaTheme="minorEastAsia"/>
          <w:sz w:val="24"/>
        </w:rPr>
        <w:t>；与前两部分</w:t>
      </w:r>
      <w:r>
        <w:rPr>
          <w:rFonts w:asciiTheme="minorEastAsia" w:hAnsiTheme="minorEastAsia" w:eastAsiaTheme="minorEastAsia"/>
          <w:sz w:val="24"/>
        </w:rPr>
        <w:t>无对应关系的内容可另行编制条款号</w:t>
      </w:r>
      <w:r>
        <w:rPr>
          <w:rFonts w:hint="eastAsia" w:asciiTheme="minorEastAsia" w:hAnsiTheme="minorEastAsia" w:eastAsiaTheme="minorEastAsia"/>
          <w:sz w:val="24"/>
        </w:rPr>
        <w:t>。</w:t>
      </w:r>
    </w:p>
    <w:tbl>
      <w:tblPr>
        <w:tblStyle w:val="19"/>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73"/>
        <w:gridCol w:w="83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sz w:val="24"/>
              </w:rPr>
            </w:pPr>
            <w:r>
              <w:rPr>
                <w:rFonts w:asciiTheme="minorEastAsia" w:hAnsiTheme="minorEastAsia" w:eastAsiaTheme="minorEastAsia"/>
                <w:b/>
                <w:sz w:val="24"/>
              </w:rPr>
              <w:t>条款号</w:t>
            </w:r>
          </w:p>
        </w:tc>
        <w:tc>
          <w:tcPr>
            <w:tcW w:w="4525" w:type="pct"/>
            <w:vAlign w:val="center"/>
          </w:tcPr>
          <w:p>
            <w:pPr>
              <w:jc w:val="center"/>
              <w:rPr>
                <w:rFonts w:asciiTheme="minorEastAsia" w:hAnsiTheme="minorEastAsia" w:eastAsiaTheme="minorEastAsia"/>
                <w:b/>
                <w:sz w:val="24"/>
              </w:rPr>
            </w:pPr>
            <w:r>
              <w:rPr>
                <w:rFonts w:asciiTheme="minorEastAsia" w:hAnsiTheme="minorEastAsia" w:eastAsiaTheme="minorEastAsia"/>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bl>
    <w:p>
      <w:pPr>
        <w:spacing w:line="360" w:lineRule="auto"/>
        <w:rPr>
          <w:rFonts w:asciiTheme="minorEastAsia" w:hAnsiTheme="minorEastAsia" w:eastAsiaTheme="minorEastAsia"/>
          <w:sz w:val="24"/>
        </w:rPr>
      </w:pPr>
    </w:p>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  </w:t>
      </w:r>
    </w:p>
    <w:bookmarkEnd w:id="52"/>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06" w:name="_Toc24145"/>
      <w:r>
        <w:rPr>
          <w:rFonts w:hint="eastAsia" w:asciiTheme="minorEastAsia" w:hAnsiTheme="minorEastAsia" w:eastAsiaTheme="minorEastAsia"/>
          <w:b/>
          <w:color w:val="auto"/>
          <w:sz w:val="28"/>
          <w:highlight w:val="none"/>
        </w:rPr>
        <w:t>第六章  响应文件格式</w:t>
      </w:r>
      <w:bookmarkEnd w:id="206"/>
    </w:p>
    <w:p>
      <w:pPr>
        <w:spacing w:line="500" w:lineRule="exact"/>
        <w:jc w:val="center"/>
        <w:outlineLvl w:val="1"/>
        <w:rPr>
          <w:rFonts w:asciiTheme="minorEastAsia" w:hAnsiTheme="minorEastAsia" w:eastAsiaTheme="minorEastAsia"/>
          <w:b/>
          <w:color w:val="auto"/>
          <w:sz w:val="32"/>
          <w:highlight w:val="yellow"/>
        </w:rPr>
      </w:pP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207" w:name="_Toc25043"/>
      <w:bookmarkStart w:id="208" w:name="_Toc20908"/>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0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08"/>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09" w:name="_Toc12430"/>
      <w:bookmarkStart w:id="210" w:name="_Toc1215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09"/>
      <w:bookmarkEnd w:id="21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1" w:name="_Toc461053086"/>
      <w:bookmarkStart w:id="212" w:name="_Toc461056631"/>
      <w:bookmarkStart w:id="213" w:name="_Toc23658"/>
      <w:bookmarkStart w:id="214" w:name="_Toc520983587"/>
      <w:bookmarkStart w:id="215" w:name="_Toc27513"/>
      <w:r>
        <w:rPr>
          <w:rFonts w:hint="eastAsia" w:asciiTheme="minorEastAsia" w:hAnsiTheme="minorEastAsia" w:eastAsiaTheme="minorEastAsia"/>
          <w:b/>
          <w:color w:val="auto"/>
          <w:sz w:val="24"/>
          <w:highlight w:val="none"/>
        </w:rPr>
        <w:t>一</w:t>
      </w:r>
      <w:bookmarkEnd w:id="211"/>
      <w:bookmarkEnd w:id="212"/>
      <w:r>
        <w:rPr>
          <w:rFonts w:hint="eastAsia" w:asciiTheme="minorEastAsia" w:hAnsiTheme="minorEastAsia" w:eastAsiaTheme="minorEastAsia"/>
          <w:b/>
          <w:color w:val="auto"/>
          <w:sz w:val="24"/>
          <w:highlight w:val="none"/>
        </w:rPr>
        <w:t>、报价表格式</w:t>
      </w:r>
      <w:bookmarkEnd w:id="213"/>
      <w:bookmarkEnd w:id="214"/>
      <w:bookmarkEnd w:id="215"/>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谈判范围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人民币大写：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人民币小写：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谈判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3.表中大写金额与小写金额不一致的，以大写金额为准。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460"/>
        <w:gridCol w:w="1450"/>
        <w:gridCol w:w="1450"/>
        <w:gridCol w:w="744"/>
        <w:gridCol w:w="744"/>
        <w:gridCol w:w="1007"/>
        <w:gridCol w:w="1007"/>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3" w:hRule="atLeast"/>
          <w:jc w:val="center"/>
        </w:trPr>
        <w:tc>
          <w:tcPr>
            <w:tcW w:w="397" w:type="pct"/>
            <w:vAlign w:val="center"/>
          </w:tcPr>
          <w:p>
            <w:pPr>
              <w:pStyle w:val="26"/>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8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vAlign w:val="center"/>
          </w:tcPr>
          <w:p>
            <w:pPr>
              <w:pStyle w:val="34"/>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pStyle w:val="34"/>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8" w:type="pct"/>
            <w:gridSpan w:val="2"/>
            <w:vAlign w:val="center"/>
          </w:tcPr>
          <w:p>
            <w:pPr>
              <w:pStyle w:val="34"/>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0"/>
        <w:spacing w:line="360" w:lineRule="auto"/>
        <w:jc w:val="right"/>
        <w:rPr>
          <w:rFonts w:ascii="宋体" w:hAnsi="宋体"/>
          <w:color w:val="auto"/>
          <w:sz w:val="24"/>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bookmarkStart w:id="216" w:name="_Toc461053087"/>
      <w:bookmarkStart w:id="217" w:name="_Toc461056632"/>
      <w:bookmarkStart w:id="218" w:name="_Toc520983588"/>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9" w:name="_Toc13918"/>
      <w:bookmarkStart w:id="220" w:name="_Toc127"/>
      <w:r>
        <w:rPr>
          <w:rFonts w:hint="eastAsia" w:asciiTheme="minorEastAsia" w:hAnsiTheme="minorEastAsia" w:eastAsiaTheme="minorEastAsia"/>
          <w:b/>
          <w:color w:val="auto"/>
          <w:sz w:val="24"/>
          <w:highlight w:val="none"/>
        </w:rPr>
        <w:t>二</w:t>
      </w:r>
      <w:bookmarkEnd w:id="216"/>
      <w:bookmarkEnd w:id="217"/>
      <w:r>
        <w:rPr>
          <w:rFonts w:hint="eastAsia" w:asciiTheme="minorEastAsia" w:hAnsiTheme="minorEastAsia" w:eastAsiaTheme="minorEastAsia"/>
          <w:b/>
          <w:color w:val="auto"/>
          <w:sz w:val="24"/>
          <w:highlight w:val="none"/>
        </w:rPr>
        <w:t>、最后承诺报价表</w:t>
      </w:r>
      <w:bookmarkEnd w:id="218"/>
      <w:bookmarkEnd w:id="219"/>
      <w:bookmarkEnd w:id="220"/>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人民币大写：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人民币小写：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p>
    <w:p>
      <w:pPr>
        <w:spacing w:line="360" w:lineRule="auto"/>
        <w:ind w:firstLine="4200" w:firstLineChars="1750"/>
        <w:jc w:val="left"/>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ind w:firstLine="4200" w:firstLineChars="1750"/>
        <w:jc w:val="left"/>
        <w:rPr>
          <w:rFonts w:ascii="宋体" w:hAnsi="宋体" w:eastAsia="宋体"/>
          <w:color w:val="auto"/>
          <w:sz w:val="24"/>
          <w:highlight w:val="none"/>
        </w:rPr>
      </w:pP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注：1.</w:t>
      </w:r>
      <w:r>
        <w:rPr>
          <w:rFonts w:hint="eastAsia" w:ascii="宋体" w:hAnsi="宋体" w:eastAsia="宋体"/>
          <w:b/>
          <w:bCs/>
          <w:color w:val="auto"/>
          <w:sz w:val="24"/>
          <w:highlight w:val="none"/>
        </w:rPr>
        <w:t>本页《报价表》由供应商在接到报价通知后依据谈判情况填写,并在规定时间内提交。</w:t>
      </w:r>
      <w:r>
        <w:rPr>
          <w:rFonts w:hint="eastAsia" w:asciiTheme="minorEastAsia" w:hAnsiTheme="minorEastAsia" w:eastAsiaTheme="minorEastAsia"/>
          <w:color w:val="auto"/>
          <w:sz w:val="24"/>
          <w:highlight w:val="none"/>
        </w:rPr>
        <w:t>考虑谈判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spacing w:line="360" w:lineRule="auto"/>
        <w:ind w:firstLine="435"/>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2.表中大写金额与小写金额不一致的，以大写金额为准。</w:t>
      </w:r>
    </w:p>
    <w:p>
      <w:pPr>
        <w:spacing w:line="360" w:lineRule="auto"/>
        <w:ind w:firstLine="435"/>
        <w:rPr>
          <w:rFonts w:asciiTheme="minorEastAsia" w:hAnsiTheme="minorEastAsia" w:eastAsiaTheme="minorEastAsia"/>
          <w:b/>
          <w:bCs/>
          <w:color w:val="auto"/>
          <w:sz w:val="24"/>
          <w:highlight w:val="none"/>
        </w:rPr>
      </w:pPr>
    </w:p>
    <w:p>
      <w:pPr>
        <w:widowControl/>
        <w:jc w:val="left"/>
        <w:rPr>
          <w:rFonts w:asciiTheme="minorEastAsia" w:hAnsiTheme="minorEastAsia" w:eastAsiaTheme="minorEastAsia"/>
          <w:b/>
          <w:color w:val="auto"/>
          <w:sz w:val="24"/>
          <w:highlight w:val="none"/>
        </w:rPr>
      </w:pPr>
      <w:bookmarkStart w:id="221" w:name="_Toc520983591"/>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2" w:name="_Toc24283"/>
      <w:bookmarkStart w:id="223" w:name="_Toc19122"/>
      <w:r>
        <w:rPr>
          <w:rFonts w:hint="eastAsia" w:asciiTheme="minorEastAsia" w:hAnsiTheme="minorEastAsia" w:eastAsiaTheme="minorEastAsia"/>
          <w:b/>
          <w:color w:val="auto"/>
          <w:sz w:val="24"/>
          <w:highlight w:val="none"/>
        </w:rPr>
        <w:t>三、谈判响应函</w:t>
      </w:r>
      <w:bookmarkEnd w:id="221"/>
      <w:bookmarkEnd w:id="222"/>
      <w:bookmarkEnd w:id="223"/>
    </w:p>
    <w:p>
      <w:pPr>
        <w:pStyle w:val="10"/>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szCs w:val="24"/>
          <w:highlight w:val="none"/>
          <w:u w:val="none"/>
          <w:lang w:eastAsia="zh-CN"/>
        </w:rPr>
        <w:t>采购人</w:t>
      </w:r>
    </w:p>
    <w:p>
      <w:pPr>
        <w:spacing w:line="360" w:lineRule="auto"/>
        <w:ind w:firstLine="480" w:firstLineChars="200"/>
        <w:rPr>
          <w:rFonts w:ascii="宋体" w:hAnsi="宋体" w:eastAsia="宋体"/>
          <w:dstrike/>
          <w:color w:val="auto"/>
          <w:sz w:val="24"/>
          <w:highlight w:val="none"/>
        </w:rPr>
      </w:pPr>
      <w:r>
        <w:rPr>
          <w:rFonts w:hint="eastAsia" w:ascii="宋体" w:hAnsi="宋体" w:eastAsia="宋体"/>
          <w:color w:val="auto"/>
          <w:sz w:val="24"/>
          <w:highlight w:val="none"/>
        </w:rPr>
        <w:t>根据贵方的</w:t>
      </w:r>
      <w:bookmarkStart w:id="224" w:name="_Hlk44287576"/>
      <w:r>
        <w:rPr>
          <w:rFonts w:hint="eastAsia" w:ascii="宋体" w:hAnsi="宋体" w:eastAsia="宋体"/>
          <w:color w:val="auto"/>
          <w:sz w:val="24"/>
          <w:highlight w:val="none"/>
        </w:rPr>
        <w:t>竞争性谈判公告和谈判邀请</w:t>
      </w:r>
      <w:bookmarkEnd w:id="224"/>
      <w:r>
        <w:rPr>
          <w:rFonts w:hint="eastAsia" w:ascii="宋体" w:hAnsi="宋体" w:eastAsia="宋体"/>
          <w:color w:val="auto"/>
          <w:sz w:val="24"/>
          <w:highlight w:val="none"/>
        </w:rPr>
        <w:t>，我方兹宣布同意如下：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1.我方根据本次谈判文件的规定，严格履行合同的责任和义务</w:t>
      </w:r>
      <w:r>
        <w:rPr>
          <w:rFonts w:ascii="宋体" w:hAnsi="宋体" w:eastAsia="宋体"/>
          <w:color w:val="auto"/>
          <w:sz w:val="24"/>
          <w:highlight w:val="none"/>
        </w:rPr>
        <w:t>,</w:t>
      </w:r>
      <w:r>
        <w:rPr>
          <w:rFonts w:hint="eastAsia" w:ascii="宋体" w:hAnsi="宋体" w:eastAsia="宋体"/>
          <w:color w:val="auto"/>
          <w:sz w:val="24"/>
          <w:highlight w:val="none"/>
        </w:rPr>
        <w:t>并保证于买方要求的日期内完成，并通过买方验收。</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.我方已详细审核本次谈判文件，包括谈判文件附件</w:t>
      </w:r>
      <w:r>
        <w:rPr>
          <w:rFonts w:hint="eastAsia" w:ascii="宋体" w:hAnsi="宋体" w:eastAsia="宋体"/>
          <w:color w:val="auto"/>
          <w:sz w:val="24"/>
          <w:highlight w:val="none"/>
          <w:lang w:val="en-US" w:eastAsia="zh-CN"/>
        </w:rPr>
        <w:t>及更正公告</w:t>
      </w:r>
      <w:r>
        <w:rPr>
          <w:rFonts w:hint="eastAsia" w:ascii="宋体" w:hAnsi="宋体" w:eastAsia="宋体"/>
          <w:color w:val="auto"/>
          <w:sz w:val="24"/>
          <w:highlight w:val="none"/>
        </w:rPr>
        <w:t>（如有），我方正式认可并遵守本次谈判文件，并对谈判文件各项条款、规定及要求均无异议。</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.我方同意从供应商须知规定的谈判日期起遵循本谈判文件，并在供应商须知规定的谈判有效期之前均具有约束力。</w:t>
      </w:r>
    </w:p>
    <w:p>
      <w:pPr>
        <w:spacing w:line="360" w:lineRule="auto"/>
        <w:ind w:firstLine="480" w:firstLineChars="200"/>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有关的任何证据、数据或资料。</w:t>
      </w:r>
    </w:p>
    <w:p>
      <w:pPr>
        <w:spacing w:line="360" w:lineRule="auto"/>
        <w:ind w:firstLine="3600" w:firstLineChars="1500"/>
        <w:rPr>
          <w:rFonts w:hint="eastAsia" w:ascii="宋体" w:hAnsi="宋体" w:eastAsia="宋体"/>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25" w:name="_Toc25337"/>
      <w:bookmarkStart w:id="226" w:name="_Toc10139"/>
      <w:bookmarkStart w:id="227" w:name="_Toc121626298"/>
      <w:bookmarkStart w:id="228" w:name="_Toc520983594"/>
      <w:bookmarkStart w:id="229" w:name="_Toc516969106"/>
      <w:bookmarkStart w:id="230" w:name="_Toc204594911"/>
      <w:r>
        <w:rPr>
          <w:rFonts w:hint="eastAsia" w:asciiTheme="minorEastAsia" w:hAnsiTheme="minorEastAsia" w:eastAsiaTheme="minorEastAsia"/>
          <w:b/>
          <w:color w:val="auto"/>
          <w:sz w:val="24"/>
          <w:highlight w:val="none"/>
          <w:lang w:val="en-US" w:eastAsia="zh-CN"/>
        </w:rPr>
        <w:t>四、供应商资格声明书</w:t>
      </w:r>
      <w:bookmarkEnd w:id="225"/>
      <w:r>
        <w:rPr>
          <w:rFonts w:hint="eastAsia" w:asciiTheme="minorEastAsia" w:hAnsiTheme="minorEastAsia" w:eastAsiaTheme="minorEastAsia"/>
          <w:b/>
          <w:color w:val="auto"/>
          <w:sz w:val="24"/>
          <w:highlight w:val="none"/>
          <w:lang w:val="en-US" w:eastAsia="zh-CN"/>
        </w:rPr>
        <w:t xml:space="preserve"> </w:t>
      </w:r>
    </w:p>
    <w:p>
      <w:pPr>
        <w:pStyle w:val="1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4873"/>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hint="default" w:ascii="宋体" w:hAnsi="宋体" w:eastAsia="宋体"/>
          <w:color w:val="auto"/>
          <w:sz w:val="24"/>
          <w:highlight w:val="none"/>
          <w:lang w:val="en-US" w:eastAsia="zh-CN"/>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asciiTheme="minorEastAsia" w:hAnsiTheme="minorEastAsia" w:eastAsiaTheme="minorEastAsia"/>
          <w:b/>
          <w:color w:val="auto"/>
          <w:sz w:val="24"/>
          <w:highlight w:val="none"/>
        </w:rPr>
      </w:pPr>
      <w:bookmarkStart w:id="231" w:name="_Toc15728"/>
      <w:r>
        <w:rPr>
          <w:rFonts w:hint="eastAsia" w:asciiTheme="minorEastAsia" w:hAnsiTheme="minorEastAsia" w:eastAsiaTheme="minorEastAsia"/>
          <w:b/>
          <w:color w:val="auto"/>
          <w:sz w:val="24"/>
          <w:highlight w:val="none"/>
          <w:lang w:val="en-US" w:eastAsia="zh-CN"/>
        </w:rPr>
        <w:t>五</w:t>
      </w:r>
      <w:r>
        <w:rPr>
          <w:rFonts w:hint="eastAsia" w:asciiTheme="minorEastAsia" w:hAnsiTheme="minorEastAsia" w:eastAsiaTheme="minorEastAsia"/>
          <w:b/>
          <w:color w:val="auto"/>
          <w:sz w:val="24"/>
          <w:highlight w:val="none"/>
        </w:rPr>
        <w:t>、授权书</w:t>
      </w:r>
      <w:bookmarkEnd w:id="226"/>
      <w:bookmarkEnd w:id="227"/>
      <w:bookmarkEnd w:id="228"/>
      <w:bookmarkEnd w:id="229"/>
      <w:bookmarkEnd w:id="230"/>
      <w:bookmarkEnd w:id="231"/>
    </w:p>
    <w:p>
      <w:pPr>
        <w:pStyle w:val="9"/>
        <w:snapToGrid w:val="0"/>
        <w:spacing w:line="360" w:lineRule="auto"/>
        <w:ind w:firstLine="480" w:firstLineChars="200"/>
        <w:jc w:val="left"/>
        <w:rPr>
          <w:rFonts w:hAnsi="宋体" w:eastAsia="宋体"/>
          <w:color w:val="auto"/>
          <w:sz w:val="24"/>
          <w:szCs w:val="28"/>
          <w:highlight w:val="none"/>
        </w:rPr>
      </w:pPr>
    </w:p>
    <w:p>
      <w:pPr>
        <w:pStyle w:val="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9"/>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9"/>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2.法定代表人参加谈判的无需提供授权书，仅提供身份证明扫描件。</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2" w:name="_Toc15310"/>
      <w:bookmarkStart w:id="233" w:name="_Toc27733"/>
      <w:r>
        <w:rPr>
          <w:rFonts w:hint="eastAsia" w:asciiTheme="minorEastAsia" w:hAnsiTheme="minorEastAsia" w:eastAsiaTheme="minorEastAsia"/>
          <w:b/>
          <w:color w:val="auto"/>
          <w:sz w:val="24"/>
          <w:highlight w:val="none"/>
        </w:rPr>
        <w:t>六、谈判响应表</w:t>
      </w:r>
      <w:bookmarkEnd w:id="232"/>
      <w:bookmarkEnd w:id="233"/>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谈判文件要求</w:t>
            </w:r>
          </w:p>
        </w:tc>
        <w:tc>
          <w:tcPr>
            <w:tcW w:w="1511"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4"/>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0"/>
        <w:gridCol w:w="3139"/>
        <w:gridCol w:w="2721"/>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谈判文件规定的技术参数要求</w:t>
            </w:r>
          </w:p>
        </w:tc>
        <w:tc>
          <w:tcPr>
            <w:tcW w:w="145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4"/>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4"/>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pStyle w:val="10"/>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4" w:name="_Toc4193"/>
      <w:bookmarkStart w:id="235" w:name="_Toc27702"/>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34"/>
      <w:bookmarkEnd w:id="235"/>
    </w:p>
    <w:p>
      <w:pPr>
        <w:pStyle w:val="17"/>
        <w:spacing w:line="360" w:lineRule="auto"/>
        <w:rPr>
          <w:rFonts w:ascii="宋体" w:hAnsi="宋体" w:eastAsia="宋体"/>
          <w:b w:val="0"/>
          <w:i/>
          <w:color w:val="auto"/>
          <w:sz w:val="24"/>
          <w:highlight w:val="yellow"/>
        </w:rPr>
      </w:pPr>
      <w:r>
        <w:rPr>
          <w:rFonts w:hint="eastAsia" w:ascii="宋体" w:hAnsi="宋体" w:eastAsia="宋体"/>
          <w:b w:val="0"/>
          <w:i/>
          <w:color w:val="FF0000"/>
          <w:sz w:val="24"/>
          <w:highlight w:val="none"/>
        </w:rPr>
        <w:t>（不允许联合体参加谈判或未组成联合体的，不需此件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；允许联合体参加谈判且供应商为联合体参加谈判的，请将此件制成扫描件上传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7"/>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bidi w:val="0"/>
      </w:pPr>
      <w:r>
        <w:br w:type="page"/>
      </w:r>
      <w:bookmarkStart w:id="236" w:name="_Hlk11531103"/>
      <w:bookmarkStart w:id="237" w:name="_Toc14690"/>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8" w:name="_Toc12439"/>
      <w:r>
        <w:rPr>
          <w:rFonts w:hint="eastAsia" w:asciiTheme="minorEastAsia" w:hAnsiTheme="minorEastAsia" w:eastAsiaTheme="minorEastAsia"/>
          <w:b/>
          <w:color w:val="auto"/>
          <w:sz w:val="24"/>
          <w:highlight w:val="none"/>
          <w:lang w:val="en-US" w:eastAsia="zh-CN"/>
        </w:rPr>
        <w:t>八．拟分包情况说明及分包意向协议</w:t>
      </w:r>
      <w:bookmarkEnd w:id="238"/>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0"/>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51"/>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2"/>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2"/>
              <w:jc w:val="both"/>
              <w:rPr>
                <w:rFonts w:hint="eastAsia" w:ascii="宋体" w:hAnsi="宋体" w:eastAsia="宋体" w:cs="宋体"/>
              </w:rPr>
            </w:pPr>
          </w:p>
        </w:tc>
        <w:tc>
          <w:tcPr>
            <w:tcW w:w="1684" w:type="dxa"/>
            <w:vAlign w:val="center"/>
          </w:tcPr>
          <w:p>
            <w:pPr>
              <w:pStyle w:val="52"/>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2"/>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2"/>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2"/>
              <w:jc w:val="both"/>
              <w:rPr>
                <w:rFonts w:hint="eastAsia" w:ascii="宋体" w:hAnsi="宋体" w:eastAsia="宋体" w:cs="宋体"/>
              </w:rPr>
            </w:pPr>
          </w:p>
        </w:tc>
        <w:tc>
          <w:tcPr>
            <w:tcW w:w="1390" w:type="dxa"/>
            <w:vAlign w:val="center"/>
          </w:tcPr>
          <w:p>
            <w:pPr>
              <w:pStyle w:val="52"/>
              <w:jc w:val="both"/>
              <w:rPr>
                <w:rFonts w:hint="eastAsia" w:ascii="宋体" w:hAnsi="宋体" w:eastAsia="宋体" w:cs="宋体"/>
              </w:rPr>
            </w:pP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2"/>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2"/>
              <w:jc w:val="both"/>
              <w:rPr>
                <w:rFonts w:hint="eastAsia" w:ascii="宋体" w:hAnsi="宋体" w:eastAsia="宋体" w:cs="宋体"/>
              </w:rPr>
            </w:pPr>
          </w:p>
        </w:tc>
        <w:tc>
          <w:tcPr>
            <w:tcW w:w="1684" w:type="dxa"/>
            <w:vAlign w:val="center"/>
          </w:tcPr>
          <w:p>
            <w:pPr>
              <w:pStyle w:val="52"/>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2"/>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2"/>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2"/>
              <w:jc w:val="both"/>
              <w:rPr>
                <w:rFonts w:hint="eastAsia" w:ascii="宋体" w:hAnsi="宋体" w:eastAsia="宋体" w:cs="宋体"/>
              </w:rPr>
            </w:pPr>
          </w:p>
        </w:tc>
        <w:tc>
          <w:tcPr>
            <w:tcW w:w="1390" w:type="dxa"/>
            <w:vAlign w:val="center"/>
          </w:tcPr>
          <w:p>
            <w:pPr>
              <w:pStyle w:val="52"/>
              <w:jc w:val="both"/>
              <w:rPr>
                <w:rFonts w:hint="eastAsia" w:ascii="宋体" w:hAnsi="宋体" w:eastAsia="宋体" w:cs="宋体"/>
              </w:rPr>
            </w:pP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2"/>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2"/>
              <w:jc w:val="both"/>
              <w:rPr>
                <w:rFonts w:hint="eastAsia" w:ascii="宋体" w:hAnsi="宋体" w:eastAsia="宋体" w:cs="宋体"/>
              </w:rPr>
            </w:pPr>
          </w:p>
        </w:tc>
        <w:tc>
          <w:tcPr>
            <w:tcW w:w="1684" w:type="dxa"/>
            <w:vAlign w:val="center"/>
          </w:tcPr>
          <w:p>
            <w:pPr>
              <w:pStyle w:val="52"/>
              <w:jc w:val="both"/>
              <w:rPr>
                <w:rFonts w:hint="eastAsia" w:ascii="宋体" w:hAnsi="宋体" w:eastAsia="宋体" w:cs="宋体"/>
              </w:rPr>
            </w:pPr>
          </w:p>
        </w:tc>
        <w:tc>
          <w:tcPr>
            <w:tcW w:w="1122" w:type="dxa"/>
            <w:vAlign w:val="center"/>
          </w:tcPr>
          <w:p>
            <w:pPr>
              <w:pStyle w:val="52"/>
              <w:jc w:val="both"/>
              <w:rPr>
                <w:rFonts w:hint="eastAsia" w:ascii="宋体" w:hAnsi="宋体" w:eastAsia="宋体" w:cs="宋体"/>
              </w:rPr>
            </w:pPr>
          </w:p>
        </w:tc>
        <w:tc>
          <w:tcPr>
            <w:tcW w:w="1390" w:type="dxa"/>
            <w:vAlign w:val="center"/>
          </w:tcPr>
          <w:p>
            <w:pPr>
              <w:pStyle w:val="52"/>
              <w:jc w:val="both"/>
              <w:rPr>
                <w:rFonts w:hint="eastAsia" w:ascii="宋体" w:hAnsi="宋体" w:eastAsia="宋体" w:cs="宋体"/>
              </w:rPr>
            </w:pP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2"/>
              <w:jc w:val="both"/>
              <w:rPr>
                <w:rFonts w:hint="eastAsia" w:ascii="宋体" w:hAnsi="宋体" w:eastAsia="宋体" w:cs="宋体"/>
              </w:rPr>
            </w:pPr>
          </w:p>
        </w:tc>
        <w:tc>
          <w:tcPr>
            <w:tcW w:w="1569" w:type="dxa"/>
            <w:vAlign w:val="center"/>
          </w:tcPr>
          <w:p>
            <w:pPr>
              <w:pStyle w:val="52"/>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宋体" w:hAnsi="宋体" w:eastAsia="宋体"/>
          <w:color w:val="auto"/>
          <w:sz w:val="24"/>
          <w:highlight w:val="none"/>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7"/>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adjustRightInd w:val="0"/>
        <w:snapToGrid w:val="0"/>
        <w:spacing w:line="360" w:lineRule="auto"/>
        <w:rPr>
          <w:rFonts w:hint="eastAsia" w:asciiTheme="minorEastAsia" w:hAnsiTheme="minorEastAsia" w:eastAsiaTheme="minorEastAsia"/>
          <w:b/>
          <w:bCs/>
          <w:sz w:val="24"/>
          <w:szCs w:val="28"/>
          <w:lang w:val="en-US" w:eastAsia="zh-CN"/>
        </w:rPr>
      </w:pPr>
      <w:r>
        <w:rPr>
          <w:rFonts w:hint="eastAsia" w:asciiTheme="minorEastAsia" w:hAnsiTheme="minorEastAsia" w:eastAsiaTheme="minorEastAsia"/>
          <w:b/>
          <w:bCs/>
          <w:sz w:val="24"/>
          <w:szCs w:val="28"/>
        </w:rPr>
        <w:t>分包意向协议中须约定向中小企业分包的项目内容及分包内容占合同金额比例</w:t>
      </w:r>
      <w:r>
        <w:rPr>
          <w:rFonts w:hint="eastAsia" w:asciiTheme="minorEastAsia" w:hAnsiTheme="minorEastAsia" w:eastAsiaTheme="minorEastAsia"/>
          <w:b/>
          <w:bCs/>
          <w:sz w:val="24"/>
          <w:szCs w:val="28"/>
          <w:lang w:eastAsia="zh-CN"/>
        </w:rPr>
        <w:t>。</w:t>
      </w: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bookmarkEnd w:id="236"/>
    <w:bookmarkEnd w:id="237"/>
    <w:p>
      <w:pPr>
        <w:spacing w:line="360" w:lineRule="auto"/>
        <w:jc w:val="center"/>
        <w:outlineLvl w:val="1"/>
        <w:rPr>
          <w:rFonts w:asciiTheme="minorEastAsia" w:hAnsiTheme="minorEastAsia" w:eastAsiaTheme="minorEastAsia"/>
          <w:b/>
          <w:color w:val="auto"/>
          <w:sz w:val="24"/>
          <w:highlight w:val="none"/>
        </w:rPr>
      </w:pPr>
      <w:bookmarkStart w:id="239" w:name="_Toc3780"/>
      <w:bookmarkStart w:id="240" w:name="_Toc6743"/>
      <w:bookmarkStart w:id="241" w:name="_Hlk60612781"/>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39"/>
      <w:bookmarkEnd w:id="240"/>
    </w:p>
    <w:p>
      <w:pPr>
        <w:spacing w:line="360" w:lineRule="auto"/>
        <w:jc w:val="center"/>
        <w:rPr>
          <w:rFonts w:asciiTheme="minorEastAsia" w:hAnsiTheme="minorEastAsia" w:eastAsiaTheme="minorEastAsia"/>
          <w:i/>
          <w:color w:val="auto"/>
          <w:sz w:val="24"/>
          <w:szCs w:val="24"/>
          <w:highlight w:val="none"/>
          <w:lang w:val="zh-CN"/>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非中小企业投标</w:t>
      </w:r>
      <w:r>
        <w:rPr>
          <w:rFonts w:hint="eastAsia" w:ascii="宋体" w:hAnsi="宋体" w:eastAsia="宋体"/>
          <w:b w:val="0"/>
          <w:i/>
          <w:color w:val="FF0000"/>
          <w:sz w:val="24"/>
          <w:highlight w:val="none"/>
          <w:lang w:val="en-US" w:eastAsia="zh-CN"/>
        </w:rPr>
        <w:t>，不需此件，请删去“中小企业声明函”；</w:t>
      </w:r>
      <w:r>
        <w:rPr>
          <w:rFonts w:hint="eastAsia" w:ascii="宋体" w:hAnsi="宋体" w:eastAsia="宋体"/>
          <w:b w:val="0"/>
          <w:i/>
          <w:color w:val="FF0000"/>
          <w:sz w:val="24"/>
          <w:highlight w:val="none"/>
          <w:lang w:val="zh-CN" w:eastAsia="zh-CN"/>
        </w:rPr>
        <w:t>中小企业</w:t>
      </w:r>
      <w:r>
        <w:rPr>
          <w:rFonts w:hint="eastAsia" w:ascii="宋体" w:hAnsi="宋体" w:eastAsia="宋体"/>
          <w:b w:val="0"/>
          <w:i/>
          <w:color w:val="FF0000"/>
          <w:sz w:val="24"/>
          <w:highlight w:val="none"/>
          <w:lang w:val="en-US" w:eastAsia="zh-CN"/>
        </w:rPr>
        <w:t>参与谈判，请删去本提示内容）</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41"/>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242" w:name="_Hlk60612992"/>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3" w:name="_Toc23008"/>
      <w:bookmarkStart w:id="244" w:name="_Toc28572"/>
      <w:r>
        <w:rPr>
          <w:rFonts w:hint="eastAsia" w:asciiTheme="minorEastAsia" w:hAnsiTheme="minorEastAsia" w:eastAsiaTheme="minorEastAsia"/>
          <w:b/>
          <w:color w:val="auto"/>
          <w:sz w:val="24"/>
          <w:highlight w:val="none"/>
        </w:rPr>
        <w:t>十、残疾人福利性单位声明函</w:t>
      </w:r>
      <w:bookmarkEnd w:id="243"/>
      <w:bookmarkEnd w:id="244"/>
    </w:p>
    <w:p>
      <w:pPr>
        <w:spacing w:line="360" w:lineRule="auto"/>
        <w:ind w:firstLine="435"/>
        <w:rPr>
          <w:rFonts w:asciiTheme="minorEastAsia" w:hAnsiTheme="minorEastAsia" w:eastAsiaTheme="minorEastAsia"/>
          <w:color w:val="auto"/>
          <w:spacing w:val="6"/>
          <w:sz w:val="24"/>
          <w:szCs w:val="24"/>
          <w:highlight w:val="none"/>
        </w:rPr>
      </w:pPr>
      <w:r>
        <w:rPr>
          <w:rFonts w:hint="eastAsia" w:ascii="宋体" w:hAnsi="宋体" w:eastAsia="宋体"/>
          <w:b w:val="0"/>
          <w:i/>
          <w:color w:val="FF0000"/>
          <w:sz w:val="24"/>
          <w:highlight w:val="none"/>
          <w:lang w:val="en-US" w:eastAsia="zh-CN"/>
        </w:rPr>
        <w:t>（请完整填写声明函内容，否则不予认可；非残疾人福利性单位参与谈判，请删去“残疾人福利性单位声明函”；残疾人福利性单位参与谈判，请删去本提示内容）</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本单位郑重声明，根据《财政部 民政部 中国残疾人联合会关于促进残疾人就业政府采购政策的通知》（财库〔2017〕141号）的规定，本单位为</w:t>
      </w:r>
      <w:r>
        <w:rPr>
          <w:rFonts w:hint="eastAsia" w:asciiTheme="minorEastAsia" w:hAnsiTheme="minorEastAsia" w:eastAsiaTheme="minorEastAsia"/>
          <w:bCs/>
          <w:color w:val="auto"/>
          <w:spacing w:val="6"/>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42"/>
    <w:p>
      <w:pPr>
        <w:spacing w:line="360" w:lineRule="auto"/>
        <w:ind w:firstLine="435"/>
        <w:rPr>
          <w:rFonts w:cs="Cambria Math" w:asciiTheme="minorEastAsia" w:hAnsiTheme="minorEastAsia" w:eastAsiaTheme="minorEastAsia"/>
          <w:b/>
          <w:color w:val="auto"/>
          <w:sz w:val="24"/>
          <w:szCs w:val="24"/>
          <w:highlight w:val="none"/>
        </w:rPr>
      </w:pPr>
    </w:p>
    <w:p>
      <w:pPr>
        <w:spacing w:line="360" w:lineRule="auto"/>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5" w:name="_Toc8563"/>
      <w:bookmarkStart w:id="246" w:name="_Toc21170"/>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45"/>
      <w:bookmarkEnd w:id="246"/>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7" w:name="_Toc28661"/>
      <w:bookmarkStart w:id="248" w:name="_Toc2904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47"/>
      <w:bookmarkEnd w:id="248"/>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提供符合谈判邀请、采购需求及评审方法和标准规定的相关证明文件。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供应商在响应文件制作时可在此栏内上传谈判文件要求上传的证明资料，如营业执照、证书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49" w:name="_Toc60608832"/>
      <w:bookmarkStart w:id="250" w:name="_Toc10319"/>
      <w:bookmarkStart w:id="251" w:name="_Toc11034"/>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w:t>
      </w:r>
      <w:r>
        <w:rPr>
          <w:rFonts w:hint="eastAsia"/>
          <w:b/>
          <w:bCs/>
          <w:color w:val="auto"/>
          <w:sz w:val="28"/>
          <w:highlight w:val="none"/>
        </w:rPr>
        <w:t xml:space="preserve">  </w:t>
      </w:r>
      <w:bookmarkEnd w:id="249"/>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50"/>
      <w:bookmarkEnd w:id="251"/>
    </w:p>
    <w:p>
      <w:pPr>
        <w:spacing w:line="360" w:lineRule="auto"/>
        <w:jc w:val="center"/>
        <w:outlineLvl w:val="1"/>
        <w:rPr>
          <w:rFonts w:ascii="仿宋" w:hAnsi="仿宋" w:eastAsia="仿宋" w:cs="仿宋"/>
          <w:b/>
          <w:bCs/>
          <w:color w:val="auto"/>
          <w:sz w:val="32"/>
          <w:szCs w:val="44"/>
          <w:highlight w:val="none"/>
        </w:rPr>
      </w:pPr>
      <w:bookmarkStart w:id="252" w:name="_Toc28375"/>
      <w:bookmarkStart w:id="253" w:name="_Toc12954"/>
      <w:r>
        <w:rPr>
          <w:rFonts w:hint="eastAsia" w:ascii="仿宋" w:hAnsi="仿宋" w:eastAsia="仿宋" w:cs="仿宋"/>
          <w:b/>
          <w:bCs/>
          <w:color w:val="auto"/>
          <w:sz w:val="32"/>
          <w:szCs w:val="44"/>
          <w:highlight w:val="none"/>
        </w:rPr>
        <w:t>询问函范本</w:t>
      </w:r>
      <w:bookmarkEnd w:id="252"/>
      <w:bookmarkEnd w:id="253"/>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yellow"/>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54" w:name="_Toc29009"/>
      <w:bookmarkStart w:id="255" w:name="_Toc23584"/>
      <w:r>
        <w:rPr>
          <w:rFonts w:hint="eastAsia" w:cs="仿宋" w:asciiTheme="minorEastAsia" w:hAnsiTheme="minorEastAsia" w:eastAsiaTheme="minorEastAsia"/>
          <w:color w:val="auto"/>
          <w:sz w:val="24"/>
          <w:szCs w:val="24"/>
          <w:highlight w:val="none"/>
        </w:rPr>
        <w:t>一、(事项一)</w:t>
      </w:r>
      <w:bookmarkEnd w:id="254"/>
      <w:bookmarkEnd w:id="255"/>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56" w:name="_Toc16254"/>
      <w:bookmarkStart w:id="257" w:name="_Toc18220"/>
      <w:r>
        <w:rPr>
          <w:rFonts w:hint="eastAsia" w:cs="仿宋" w:asciiTheme="minorEastAsia" w:hAnsiTheme="minorEastAsia" w:eastAsiaTheme="minorEastAsia"/>
          <w:color w:val="auto"/>
          <w:sz w:val="24"/>
          <w:szCs w:val="24"/>
          <w:highlight w:val="none"/>
        </w:rPr>
        <w:t>二、(事项二)</w:t>
      </w:r>
      <w:bookmarkEnd w:id="256"/>
      <w:bookmarkEnd w:id="257"/>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58" w:name="_Toc18073"/>
      <w:bookmarkStart w:id="259" w:name="_Toc6176"/>
      <w:r>
        <w:rPr>
          <w:rFonts w:hint="eastAsia" w:ascii="仿宋" w:hAnsi="仿宋" w:eastAsia="仿宋" w:cs="仿宋"/>
          <w:b/>
          <w:bCs/>
          <w:color w:val="auto"/>
          <w:sz w:val="32"/>
          <w:szCs w:val="44"/>
          <w:highlight w:val="none"/>
        </w:rPr>
        <w:t>质疑函范本</w:t>
      </w:r>
      <w:bookmarkEnd w:id="258"/>
      <w:bookmarkEnd w:id="259"/>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60" w:name="_Toc17682"/>
      <w:bookmarkStart w:id="261" w:name="_Toc21548"/>
      <w:r>
        <w:rPr>
          <w:rFonts w:hint="eastAsia" w:cs="仿宋" w:asciiTheme="minorEastAsia" w:hAnsiTheme="minorEastAsia" w:eastAsiaTheme="minorEastAsia"/>
          <w:b/>
          <w:bCs/>
          <w:color w:val="auto"/>
          <w:sz w:val="24"/>
          <w:szCs w:val="24"/>
          <w:highlight w:val="none"/>
        </w:rPr>
        <w:t>一、质疑供应商基本信息</w:t>
      </w:r>
      <w:bookmarkEnd w:id="260"/>
      <w:bookmarkEnd w:id="261"/>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62" w:name="_Toc5180"/>
      <w:bookmarkStart w:id="263" w:name="_Toc9149"/>
      <w:r>
        <w:rPr>
          <w:rFonts w:hint="eastAsia" w:cs="仿宋" w:asciiTheme="minorEastAsia" w:hAnsiTheme="minorEastAsia" w:eastAsiaTheme="minorEastAsia"/>
          <w:b/>
          <w:bCs/>
          <w:color w:val="auto"/>
          <w:sz w:val="24"/>
          <w:szCs w:val="24"/>
          <w:highlight w:val="none"/>
        </w:rPr>
        <w:t>二、质疑项目基本情况</w:t>
      </w:r>
      <w:bookmarkEnd w:id="262"/>
      <w:bookmarkEnd w:id="263"/>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64" w:name="_Toc29996"/>
      <w:bookmarkStart w:id="265" w:name="_Toc14494"/>
      <w:r>
        <w:rPr>
          <w:rFonts w:hint="eastAsia" w:cs="仿宋" w:asciiTheme="minorEastAsia" w:hAnsiTheme="minorEastAsia" w:eastAsiaTheme="minorEastAsia"/>
          <w:b/>
          <w:bCs/>
          <w:color w:val="auto"/>
          <w:sz w:val="24"/>
          <w:szCs w:val="24"/>
          <w:highlight w:val="none"/>
        </w:rPr>
        <w:t>三、质疑事项具体内容</w:t>
      </w:r>
      <w:bookmarkEnd w:id="264"/>
      <w:bookmarkEnd w:id="26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66" w:name="_Toc7296"/>
      <w:bookmarkStart w:id="267" w:name="_Toc814"/>
      <w:r>
        <w:rPr>
          <w:rFonts w:hint="eastAsia" w:cs="仿宋" w:asciiTheme="minorEastAsia" w:hAnsiTheme="minorEastAsia" w:eastAsiaTheme="minorEastAsia"/>
          <w:b/>
          <w:bCs/>
          <w:color w:val="auto"/>
          <w:sz w:val="24"/>
          <w:szCs w:val="24"/>
          <w:highlight w:val="none"/>
        </w:rPr>
        <w:t>四、与质疑事项相关的质疑请求</w:t>
      </w:r>
      <w:bookmarkEnd w:id="266"/>
      <w:bookmarkEnd w:id="26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68" w:name="_Toc26567"/>
      <w:bookmarkStart w:id="269" w:name="_Toc3093"/>
      <w:r>
        <w:rPr>
          <w:rFonts w:hint="eastAsia" w:asciiTheme="minorEastAsia" w:hAnsiTheme="minorEastAsia" w:eastAsiaTheme="minorEastAsia"/>
          <w:b/>
          <w:color w:val="auto"/>
          <w:sz w:val="28"/>
          <w:szCs w:val="32"/>
          <w:highlight w:val="none"/>
        </w:rPr>
        <w:t>质疑函制作说明：</w:t>
      </w:r>
      <w:bookmarkEnd w:id="268"/>
      <w:bookmarkEnd w:id="26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811171"/>
    </w:sdtPr>
    <w:sdtEndPr>
      <w:rPr>
        <w:rFonts w:asciiTheme="minorEastAsia" w:hAnsiTheme="minorEastAsia" w:eastAsiaTheme="minorEastAsia"/>
        <w:sz w:val="21"/>
        <w:szCs w:val="21"/>
      </w:rPr>
    </w:sdtEndPr>
    <w:sdtContent>
      <w:sdt>
        <w:sdtPr>
          <w:id w:val="-1669238322"/>
        </w:sdtPr>
        <w:sdtEndPr>
          <w:rPr>
            <w:rFonts w:asciiTheme="minorEastAsia" w:hAnsiTheme="minorEastAsia" w:eastAsiaTheme="minorEastAsia"/>
            <w:sz w:val="21"/>
            <w:szCs w:val="21"/>
          </w:rPr>
        </w:sdtEndPr>
        <w:sdtContent>
          <w:p>
            <w:pPr>
              <w:pStyle w:val="1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62</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60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2247"/>
    <w:rsid w:val="000037F9"/>
    <w:rsid w:val="000049DA"/>
    <w:rsid w:val="000056B7"/>
    <w:rsid w:val="00005C24"/>
    <w:rsid w:val="0000779C"/>
    <w:rsid w:val="000131F7"/>
    <w:rsid w:val="00013DD9"/>
    <w:rsid w:val="00014039"/>
    <w:rsid w:val="00014DDD"/>
    <w:rsid w:val="00016B6C"/>
    <w:rsid w:val="000201D0"/>
    <w:rsid w:val="00020B57"/>
    <w:rsid w:val="00020DA0"/>
    <w:rsid w:val="00021D80"/>
    <w:rsid w:val="000227B2"/>
    <w:rsid w:val="000356BE"/>
    <w:rsid w:val="00040C25"/>
    <w:rsid w:val="00042139"/>
    <w:rsid w:val="000421D1"/>
    <w:rsid w:val="00042B14"/>
    <w:rsid w:val="000444B3"/>
    <w:rsid w:val="00044F49"/>
    <w:rsid w:val="000450C3"/>
    <w:rsid w:val="00046FC4"/>
    <w:rsid w:val="00050A3F"/>
    <w:rsid w:val="00050F5E"/>
    <w:rsid w:val="00062C99"/>
    <w:rsid w:val="000641C6"/>
    <w:rsid w:val="000648D2"/>
    <w:rsid w:val="00066B5B"/>
    <w:rsid w:val="00070075"/>
    <w:rsid w:val="00070E0E"/>
    <w:rsid w:val="0007146E"/>
    <w:rsid w:val="00072F85"/>
    <w:rsid w:val="00076456"/>
    <w:rsid w:val="00076DB7"/>
    <w:rsid w:val="00080FEB"/>
    <w:rsid w:val="000870E6"/>
    <w:rsid w:val="00093150"/>
    <w:rsid w:val="00093E05"/>
    <w:rsid w:val="00094D41"/>
    <w:rsid w:val="0009531E"/>
    <w:rsid w:val="00096426"/>
    <w:rsid w:val="000970FA"/>
    <w:rsid w:val="00097CB9"/>
    <w:rsid w:val="000A10A9"/>
    <w:rsid w:val="000A32F3"/>
    <w:rsid w:val="000A6693"/>
    <w:rsid w:val="000A7970"/>
    <w:rsid w:val="000A7D94"/>
    <w:rsid w:val="000B118D"/>
    <w:rsid w:val="000B120A"/>
    <w:rsid w:val="000B1511"/>
    <w:rsid w:val="000C0507"/>
    <w:rsid w:val="000C0B4B"/>
    <w:rsid w:val="000C14C3"/>
    <w:rsid w:val="000C1DB1"/>
    <w:rsid w:val="000C2092"/>
    <w:rsid w:val="000C407C"/>
    <w:rsid w:val="000C512D"/>
    <w:rsid w:val="000C6D28"/>
    <w:rsid w:val="000D2411"/>
    <w:rsid w:val="000D3A8D"/>
    <w:rsid w:val="000D3F37"/>
    <w:rsid w:val="000E2BA5"/>
    <w:rsid w:val="000E3C74"/>
    <w:rsid w:val="000E3F9B"/>
    <w:rsid w:val="000E478E"/>
    <w:rsid w:val="000E4B7C"/>
    <w:rsid w:val="000E6689"/>
    <w:rsid w:val="000F172B"/>
    <w:rsid w:val="000F2198"/>
    <w:rsid w:val="000F29A8"/>
    <w:rsid w:val="000F39B6"/>
    <w:rsid w:val="000F3D25"/>
    <w:rsid w:val="000F5488"/>
    <w:rsid w:val="000F6B7B"/>
    <w:rsid w:val="00100B0F"/>
    <w:rsid w:val="0010187C"/>
    <w:rsid w:val="00101DDB"/>
    <w:rsid w:val="0010219C"/>
    <w:rsid w:val="001026B4"/>
    <w:rsid w:val="001037E3"/>
    <w:rsid w:val="00104C6C"/>
    <w:rsid w:val="00106C08"/>
    <w:rsid w:val="0011036B"/>
    <w:rsid w:val="00111B6F"/>
    <w:rsid w:val="0011660B"/>
    <w:rsid w:val="00120E4A"/>
    <w:rsid w:val="0012143A"/>
    <w:rsid w:val="001258BA"/>
    <w:rsid w:val="001273BC"/>
    <w:rsid w:val="001301E2"/>
    <w:rsid w:val="00132DDC"/>
    <w:rsid w:val="00134C6F"/>
    <w:rsid w:val="0013744A"/>
    <w:rsid w:val="00140687"/>
    <w:rsid w:val="00146421"/>
    <w:rsid w:val="00151E19"/>
    <w:rsid w:val="00153B20"/>
    <w:rsid w:val="00155F64"/>
    <w:rsid w:val="00156F8B"/>
    <w:rsid w:val="00157856"/>
    <w:rsid w:val="00160729"/>
    <w:rsid w:val="00161B13"/>
    <w:rsid w:val="001651ED"/>
    <w:rsid w:val="00166794"/>
    <w:rsid w:val="00166ED8"/>
    <w:rsid w:val="001714C9"/>
    <w:rsid w:val="00172ACA"/>
    <w:rsid w:val="0017704F"/>
    <w:rsid w:val="0018119B"/>
    <w:rsid w:val="00183995"/>
    <w:rsid w:val="001844AB"/>
    <w:rsid w:val="001853C7"/>
    <w:rsid w:val="001866DC"/>
    <w:rsid w:val="001907B0"/>
    <w:rsid w:val="00190839"/>
    <w:rsid w:val="00192879"/>
    <w:rsid w:val="001938E5"/>
    <w:rsid w:val="001944B8"/>
    <w:rsid w:val="0019616A"/>
    <w:rsid w:val="00196DA3"/>
    <w:rsid w:val="001A526C"/>
    <w:rsid w:val="001A5B1F"/>
    <w:rsid w:val="001A68E5"/>
    <w:rsid w:val="001B2A54"/>
    <w:rsid w:val="001B2BA4"/>
    <w:rsid w:val="001B5014"/>
    <w:rsid w:val="001B544A"/>
    <w:rsid w:val="001B62A6"/>
    <w:rsid w:val="001B7327"/>
    <w:rsid w:val="001C03D4"/>
    <w:rsid w:val="001C54BE"/>
    <w:rsid w:val="001C6047"/>
    <w:rsid w:val="001D22EA"/>
    <w:rsid w:val="001D2634"/>
    <w:rsid w:val="001D3B4C"/>
    <w:rsid w:val="001D53B4"/>
    <w:rsid w:val="001E15FE"/>
    <w:rsid w:val="001E1835"/>
    <w:rsid w:val="001E42BC"/>
    <w:rsid w:val="001F19A3"/>
    <w:rsid w:val="001F28D2"/>
    <w:rsid w:val="001F2F45"/>
    <w:rsid w:val="001F3023"/>
    <w:rsid w:val="001F35F6"/>
    <w:rsid w:val="001F4308"/>
    <w:rsid w:val="001F74CA"/>
    <w:rsid w:val="001F7590"/>
    <w:rsid w:val="002003B6"/>
    <w:rsid w:val="0020244A"/>
    <w:rsid w:val="00204609"/>
    <w:rsid w:val="002049B4"/>
    <w:rsid w:val="0020520B"/>
    <w:rsid w:val="0020529E"/>
    <w:rsid w:val="002056D4"/>
    <w:rsid w:val="002076AD"/>
    <w:rsid w:val="00213C55"/>
    <w:rsid w:val="002156EA"/>
    <w:rsid w:val="00221256"/>
    <w:rsid w:val="00223CF4"/>
    <w:rsid w:val="00224C4A"/>
    <w:rsid w:val="00231187"/>
    <w:rsid w:val="0023407E"/>
    <w:rsid w:val="00240B40"/>
    <w:rsid w:val="00241874"/>
    <w:rsid w:val="002427C1"/>
    <w:rsid w:val="002439FE"/>
    <w:rsid w:val="00244182"/>
    <w:rsid w:val="00246F20"/>
    <w:rsid w:val="00250EE3"/>
    <w:rsid w:val="00253517"/>
    <w:rsid w:val="002544A1"/>
    <w:rsid w:val="00257ECE"/>
    <w:rsid w:val="00260B94"/>
    <w:rsid w:val="00261798"/>
    <w:rsid w:val="002626F5"/>
    <w:rsid w:val="00262AFC"/>
    <w:rsid w:val="00264EAD"/>
    <w:rsid w:val="00264F2E"/>
    <w:rsid w:val="00271245"/>
    <w:rsid w:val="00271B93"/>
    <w:rsid w:val="002720A9"/>
    <w:rsid w:val="00274A9E"/>
    <w:rsid w:val="00275C66"/>
    <w:rsid w:val="00276BA1"/>
    <w:rsid w:val="00280984"/>
    <w:rsid w:val="00281A59"/>
    <w:rsid w:val="002835E3"/>
    <w:rsid w:val="00284542"/>
    <w:rsid w:val="0028537B"/>
    <w:rsid w:val="002929E1"/>
    <w:rsid w:val="00292D2A"/>
    <w:rsid w:val="002A14D1"/>
    <w:rsid w:val="002A1A1D"/>
    <w:rsid w:val="002A28AD"/>
    <w:rsid w:val="002A3879"/>
    <w:rsid w:val="002B04FD"/>
    <w:rsid w:val="002B2BC9"/>
    <w:rsid w:val="002B5318"/>
    <w:rsid w:val="002B6D27"/>
    <w:rsid w:val="002B7A09"/>
    <w:rsid w:val="002C060C"/>
    <w:rsid w:val="002C3BA6"/>
    <w:rsid w:val="002C6F1B"/>
    <w:rsid w:val="002C72CD"/>
    <w:rsid w:val="002C76BA"/>
    <w:rsid w:val="002D041D"/>
    <w:rsid w:val="002D05DD"/>
    <w:rsid w:val="002D24AD"/>
    <w:rsid w:val="002D2965"/>
    <w:rsid w:val="002D3301"/>
    <w:rsid w:val="002D3D02"/>
    <w:rsid w:val="002D4CB5"/>
    <w:rsid w:val="002D684B"/>
    <w:rsid w:val="002E16E9"/>
    <w:rsid w:val="002E1C8F"/>
    <w:rsid w:val="002E2D3A"/>
    <w:rsid w:val="002E3B26"/>
    <w:rsid w:val="002E3CF3"/>
    <w:rsid w:val="002E411D"/>
    <w:rsid w:val="002E4AB8"/>
    <w:rsid w:val="002E7FC4"/>
    <w:rsid w:val="002F1132"/>
    <w:rsid w:val="002F2D4E"/>
    <w:rsid w:val="0030413C"/>
    <w:rsid w:val="003043FC"/>
    <w:rsid w:val="00310070"/>
    <w:rsid w:val="0031081B"/>
    <w:rsid w:val="00310F86"/>
    <w:rsid w:val="003110EC"/>
    <w:rsid w:val="003166D8"/>
    <w:rsid w:val="003206A6"/>
    <w:rsid w:val="003213B4"/>
    <w:rsid w:val="0032560D"/>
    <w:rsid w:val="0032598E"/>
    <w:rsid w:val="00327C92"/>
    <w:rsid w:val="00330431"/>
    <w:rsid w:val="00331DEB"/>
    <w:rsid w:val="00331F10"/>
    <w:rsid w:val="00333292"/>
    <w:rsid w:val="0033392E"/>
    <w:rsid w:val="003344E7"/>
    <w:rsid w:val="0033460E"/>
    <w:rsid w:val="0033580B"/>
    <w:rsid w:val="003365E7"/>
    <w:rsid w:val="00336983"/>
    <w:rsid w:val="003378D5"/>
    <w:rsid w:val="00340CA3"/>
    <w:rsid w:val="00342B62"/>
    <w:rsid w:val="00344BF7"/>
    <w:rsid w:val="003473D7"/>
    <w:rsid w:val="003510A4"/>
    <w:rsid w:val="00351AC8"/>
    <w:rsid w:val="00353075"/>
    <w:rsid w:val="003550A7"/>
    <w:rsid w:val="00360384"/>
    <w:rsid w:val="00360697"/>
    <w:rsid w:val="00362110"/>
    <w:rsid w:val="0036339C"/>
    <w:rsid w:val="00363E02"/>
    <w:rsid w:val="00370F58"/>
    <w:rsid w:val="00373A96"/>
    <w:rsid w:val="00374BA2"/>
    <w:rsid w:val="00381681"/>
    <w:rsid w:val="003826C2"/>
    <w:rsid w:val="00382B87"/>
    <w:rsid w:val="00383728"/>
    <w:rsid w:val="00385435"/>
    <w:rsid w:val="00385772"/>
    <w:rsid w:val="003903BB"/>
    <w:rsid w:val="003921ED"/>
    <w:rsid w:val="00392627"/>
    <w:rsid w:val="00393E2B"/>
    <w:rsid w:val="00394128"/>
    <w:rsid w:val="00394ADC"/>
    <w:rsid w:val="00395235"/>
    <w:rsid w:val="0039561A"/>
    <w:rsid w:val="00397C7D"/>
    <w:rsid w:val="003A004F"/>
    <w:rsid w:val="003A092F"/>
    <w:rsid w:val="003A33CD"/>
    <w:rsid w:val="003A4DF1"/>
    <w:rsid w:val="003B4130"/>
    <w:rsid w:val="003B715B"/>
    <w:rsid w:val="003B7FCE"/>
    <w:rsid w:val="003C002C"/>
    <w:rsid w:val="003C0B36"/>
    <w:rsid w:val="003C2C62"/>
    <w:rsid w:val="003C717B"/>
    <w:rsid w:val="003D1D14"/>
    <w:rsid w:val="003D551F"/>
    <w:rsid w:val="003D6C7C"/>
    <w:rsid w:val="003D6EFB"/>
    <w:rsid w:val="003D7E52"/>
    <w:rsid w:val="003E0BE0"/>
    <w:rsid w:val="003E0F14"/>
    <w:rsid w:val="003E25C6"/>
    <w:rsid w:val="003E4183"/>
    <w:rsid w:val="003E4C91"/>
    <w:rsid w:val="003E6A52"/>
    <w:rsid w:val="003F7528"/>
    <w:rsid w:val="00400910"/>
    <w:rsid w:val="004011AA"/>
    <w:rsid w:val="0040202C"/>
    <w:rsid w:val="00405503"/>
    <w:rsid w:val="00406508"/>
    <w:rsid w:val="00407843"/>
    <w:rsid w:val="0041456E"/>
    <w:rsid w:val="004145A1"/>
    <w:rsid w:val="00414903"/>
    <w:rsid w:val="00414F7E"/>
    <w:rsid w:val="0041564E"/>
    <w:rsid w:val="004164F8"/>
    <w:rsid w:val="00417FE4"/>
    <w:rsid w:val="004201EC"/>
    <w:rsid w:val="00420AD7"/>
    <w:rsid w:val="00426F05"/>
    <w:rsid w:val="004328E1"/>
    <w:rsid w:val="0044030A"/>
    <w:rsid w:val="00441EF6"/>
    <w:rsid w:val="004427B7"/>
    <w:rsid w:val="0044349F"/>
    <w:rsid w:val="00445E5D"/>
    <w:rsid w:val="00445F1F"/>
    <w:rsid w:val="00451B9C"/>
    <w:rsid w:val="00451F60"/>
    <w:rsid w:val="00452BB2"/>
    <w:rsid w:val="004541F2"/>
    <w:rsid w:val="00456054"/>
    <w:rsid w:val="0045656D"/>
    <w:rsid w:val="00462D98"/>
    <w:rsid w:val="00463E7D"/>
    <w:rsid w:val="004660C8"/>
    <w:rsid w:val="004723BE"/>
    <w:rsid w:val="00472A44"/>
    <w:rsid w:val="00473A89"/>
    <w:rsid w:val="00475899"/>
    <w:rsid w:val="00482C78"/>
    <w:rsid w:val="00483BC8"/>
    <w:rsid w:val="0048634A"/>
    <w:rsid w:val="004874AE"/>
    <w:rsid w:val="00491830"/>
    <w:rsid w:val="00494D24"/>
    <w:rsid w:val="004951D1"/>
    <w:rsid w:val="004960BB"/>
    <w:rsid w:val="00497173"/>
    <w:rsid w:val="004A27D0"/>
    <w:rsid w:val="004A2E6C"/>
    <w:rsid w:val="004A4A18"/>
    <w:rsid w:val="004A4D67"/>
    <w:rsid w:val="004A5B89"/>
    <w:rsid w:val="004B24DD"/>
    <w:rsid w:val="004C13CB"/>
    <w:rsid w:val="004C6766"/>
    <w:rsid w:val="004D19B1"/>
    <w:rsid w:val="004D1B4F"/>
    <w:rsid w:val="004D1E11"/>
    <w:rsid w:val="004D3D4B"/>
    <w:rsid w:val="004D5498"/>
    <w:rsid w:val="004D66A5"/>
    <w:rsid w:val="004D6B00"/>
    <w:rsid w:val="004D6B8C"/>
    <w:rsid w:val="004E0D39"/>
    <w:rsid w:val="004E1D50"/>
    <w:rsid w:val="004E357B"/>
    <w:rsid w:val="004F1A35"/>
    <w:rsid w:val="004F27A0"/>
    <w:rsid w:val="004F2E5D"/>
    <w:rsid w:val="004F3C35"/>
    <w:rsid w:val="00501382"/>
    <w:rsid w:val="0050350D"/>
    <w:rsid w:val="00510798"/>
    <w:rsid w:val="005125F1"/>
    <w:rsid w:val="00515814"/>
    <w:rsid w:val="00524A11"/>
    <w:rsid w:val="00527768"/>
    <w:rsid w:val="00530EA4"/>
    <w:rsid w:val="005327FB"/>
    <w:rsid w:val="00533FCA"/>
    <w:rsid w:val="00536422"/>
    <w:rsid w:val="00537583"/>
    <w:rsid w:val="005411A7"/>
    <w:rsid w:val="005470D4"/>
    <w:rsid w:val="0055066A"/>
    <w:rsid w:val="0055291E"/>
    <w:rsid w:val="00555E64"/>
    <w:rsid w:val="005565D3"/>
    <w:rsid w:val="005616B5"/>
    <w:rsid w:val="005641E3"/>
    <w:rsid w:val="005679A4"/>
    <w:rsid w:val="005716A1"/>
    <w:rsid w:val="00573723"/>
    <w:rsid w:val="00577E74"/>
    <w:rsid w:val="00584744"/>
    <w:rsid w:val="00584DA0"/>
    <w:rsid w:val="00591DC8"/>
    <w:rsid w:val="0059223D"/>
    <w:rsid w:val="0059727C"/>
    <w:rsid w:val="00597B15"/>
    <w:rsid w:val="00597B96"/>
    <w:rsid w:val="005A044C"/>
    <w:rsid w:val="005A11F7"/>
    <w:rsid w:val="005A149F"/>
    <w:rsid w:val="005A56A6"/>
    <w:rsid w:val="005A56B3"/>
    <w:rsid w:val="005B0963"/>
    <w:rsid w:val="005B34C9"/>
    <w:rsid w:val="005B7CC6"/>
    <w:rsid w:val="005C34E8"/>
    <w:rsid w:val="005C3F52"/>
    <w:rsid w:val="005C4164"/>
    <w:rsid w:val="005C70E5"/>
    <w:rsid w:val="005D0200"/>
    <w:rsid w:val="005D3FA5"/>
    <w:rsid w:val="005D44EF"/>
    <w:rsid w:val="005D5112"/>
    <w:rsid w:val="005D5D67"/>
    <w:rsid w:val="005E4A2E"/>
    <w:rsid w:val="005E773F"/>
    <w:rsid w:val="005E781C"/>
    <w:rsid w:val="005F34CC"/>
    <w:rsid w:val="005F3914"/>
    <w:rsid w:val="005F3B5A"/>
    <w:rsid w:val="005F6AB4"/>
    <w:rsid w:val="005F7A80"/>
    <w:rsid w:val="00604792"/>
    <w:rsid w:val="0060721F"/>
    <w:rsid w:val="00607471"/>
    <w:rsid w:val="00610A66"/>
    <w:rsid w:val="00613177"/>
    <w:rsid w:val="00613F7C"/>
    <w:rsid w:val="00614BF2"/>
    <w:rsid w:val="0061557C"/>
    <w:rsid w:val="00620D1B"/>
    <w:rsid w:val="00623DE2"/>
    <w:rsid w:val="00627601"/>
    <w:rsid w:val="006300D0"/>
    <w:rsid w:val="00632012"/>
    <w:rsid w:val="006331E3"/>
    <w:rsid w:val="00634694"/>
    <w:rsid w:val="00635424"/>
    <w:rsid w:val="00636517"/>
    <w:rsid w:val="00637690"/>
    <w:rsid w:val="00640E1E"/>
    <w:rsid w:val="00641721"/>
    <w:rsid w:val="0064389A"/>
    <w:rsid w:val="0064468C"/>
    <w:rsid w:val="00644F02"/>
    <w:rsid w:val="00645168"/>
    <w:rsid w:val="00645442"/>
    <w:rsid w:val="00645469"/>
    <w:rsid w:val="006525CD"/>
    <w:rsid w:val="00653F7F"/>
    <w:rsid w:val="00660A71"/>
    <w:rsid w:val="00662EE8"/>
    <w:rsid w:val="00663813"/>
    <w:rsid w:val="00664AFD"/>
    <w:rsid w:val="00665031"/>
    <w:rsid w:val="006650B8"/>
    <w:rsid w:val="0066694D"/>
    <w:rsid w:val="00667567"/>
    <w:rsid w:val="0067391A"/>
    <w:rsid w:val="00674173"/>
    <w:rsid w:val="00676B59"/>
    <w:rsid w:val="00677D87"/>
    <w:rsid w:val="0068373C"/>
    <w:rsid w:val="00684CF7"/>
    <w:rsid w:val="00690DB1"/>
    <w:rsid w:val="00691D45"/>
    <w:rsid w:val="00693404"/>
    <w:rsid w:val="006953D9"/>
    <w:rsid w:val="006A1269"/>
    <w:rsid w:val="006A5803"/>
    <w:rsid w:val="006A69C3"/>
    <w:rsid w:val="006A702A"/>
    <w:rsid w:val="006A7C15"/>
    <w:rsid w:val="006B1242"/>
    <w:rsid w:val="006B1DBC"/>
    <w:rsid w:val="006B3E24"/>
    <w:rsid w:val="006B7C1C"/>
    <w:rsid w:val="006B7D9A"/>
    <w:rsid w:val="006C06D9"/>
    <w:rsid w:val="006C171E"/>
    <w:rsid w:val="006C3E22"/>
    <w:rsid w:val="006C5716"/>
    <w:rsid w:val="006C64B2"/>
    <w:rsid w:val="006C74A9"/>
    <w:rsid w:val="006D07DE"/>
    <w:rsid w:val="006D361A"/>
    <w:rsid w:val="006D424C"/>
    <w:rsid w:val="006D7D6A"/>
    <w:rsid w:val="006E06D9"/>
    <w:rsid w:val="006E1D40"/>
    <w:rsid w:val="006E2E1F"/>
    <w:rsid w:val="006E5059"/>
    <w:rsid w:val="006F0856"/>
    <w:rsid w:val="006F4B48"/>
    <w:rsid w:val="006F5F03"/>
    <w:rsid w:val="006F5FFF"/>
    <w:rsid w:val="006F7978"/>
    <w:rsid w:val="00700C16"/>
    <w:rsid w:val="00700F1D"/>
    <w:rsid w:val="00702237"/>
    <w:rsid w:val="00710804"/>
    <w:rsid w:val="00710877"/>
    <w:rsid w:val="00711FC6"/>
    <w:rsid w:val="007130B1"/>
    <w:rsid w:val="00715071"/>
    <w:rsid w:val="00720B60"/>
    <w:rsid w:val="00720D0D"/>
    <w:rsid w:val="007231E9"/>
    <w:rsid w:val="00724F0E"/>
    <w:rsid w:val="00725DA2"/>
    <w:rsid w:val="00727C59"/>
    <w:rsid w:val="00732C6B"/>
    <w:rsid w:val="00733730"/>
    <w:rsid w:val="00734D34"/>
    <w:rsid w:val="00734E5D"/>
    <w:rsid w:val="00736013"/>
    <w:rsid w:val="00737BF8"/>
    <w:rsid w:val="0074339B"/>
    <w:rsid w:val="00751B38"/>
    <w:rsid w:val="0075264F"/>
    <w:rsid w:val="00756245"/>
    <w:rsid w:val="00756B40"/>
    <w:rsid w:val="00761662"/>
    <w:rsid w:val="00763E37"/>
    <w:rsid w:val="00764043"/>
    <w:rsid w:val="00765C94"/>
    <w:rsid w:val="007667A4"/>
    <w:rsid w:val="007754AA"/>
    <w:rsid w:val="007757CF"/>
    <w:rsid w:val="0078128F"/>
    <w:rsid w:val="007819D9"/>
    <w:rsid w:val="0078683C"/>
    <w:rsid w:val="007868E8"/>
    <w:rsid w:val="00790EDB"/>
    <w:rsid w:val="00791538"/>
    <w:rsid w:val="0079326E"/>
    <w:rsid w:val="00796EDE"/>
    <w:rsid w:val="007A0BFB"/>
    <w:rsid w:val="007A4FC7"/>
    <w:rsid w:val="007A5A58"/>
    <w:rsid w:val="007A79CA"/>
    <w:rsid w:val="007B1071"/>
    <w:rsid w:val="007B1C56"/>
    <w:rsid w:val="007B5842"/>
    <w:rsid w:val="007B6E33"/>
    <w:rsid w:val="007B7D40"/>
    <w:rsid w:val="007C1DD7"/>
    <w:rsid w:val="007C24E3"/>
    <w:rsid w:val="007C3CD5"/>
    <w:rsid w:val="007C5E88"/>
    <w:rsid w:val="007C5F1F"/>
    <w:rsid w:val="007C61EF"/>
    <w:rsid w:val="007D1A73"/>
    <w:rsid w:val="007D1C0D"/>
    <w:rsid w:val="007D2D23"/>
    <w:rsid w:val="007D4A71"/>
    <w:rsid w:val="007D67A3"/>
    <w:rsid w:val="007D6C28"/>
    <w:rsid w:val="007E0BAF"/>
    <w:rsid w:val="007E27D6"/>
    <w:rsid w:val="007E3921"/>
    <w:rsid w:val="007E525F"/>
    <w:rsid w:val="00801028"/>
    <w:rsid w:val="00802F1D"/>
    <w:rsid w:val="00803793"/>
    <w:rsid w:val="00804000"/>
    <w:rsid w:val="0080412D"/>
    <w:rsid w:val="00817A01"/>
    <w:rsid w:val="00820E1F"/>
    <w:rsid w:val="00821639"/>
    <w:rsid w:val="00824BE1"/>
    <w:rsid w:val="00825E35"/>
    <w:rsid w:val="0082734F"/>
    <w:rsid w:val="00827435"/>
    <w:rsid w:val="00830792"/>
    <w:rsid w:val="00830A4E"/>
    <w:rsid w:val="008319C8"/>
    <w:rsid w:val="008322FF"/>
    <w:rsid w:val="00833305"/>
    <w:rsid w:val="008334F8"/>
    <w:rsid w:val="0083586A"/>
    <w:rsid w:val="00835FFD"/>
    <w:rsid w:val="00845D94"/>
    <w:rsid w:val="008504BF"/>
    <w:rsid w:val="008524CE"/>
    <w:rsid w:val="00854E85"/>
    <w:rsid w:val="008575E9"/>
    <w:rsid w:val="0086440C"/>
    <w:rsid w:val="008678A4"/>
    <w:rsid w:val="00876659"/>
    <w:rsid w:val="0087734C"/>
    <w:rsid w:val="00882141"/>
    <w:rsid w:val="008876EC"/>
    <w:rsid w:val="008922A8"/>
    <w:rsid w:val="00894916"/>
    <w:rsid w:val="00895BD5"/>
    <w:rsid w:val="008A16C4"/>
    <w:rsid w:val="008A20A9"/>
    <w:rsid w:val="008A3609"/>
    <w:rsid w:val="008A6FED"/>
    <w:rsid w:val="008B1F5C"/>
    <w:rsid w:val="008B1F73"/>
    <w:rsid w:val="008B39C5"/>
    <w:rsid w:val="008B51AA"/>
    <w:rsid w:val="008B7382"/>
    <w:rsid w:val="008C5A7A"/>
    <w:rsid w:val="008C67F2"/>
    <w:rsid w:val="008C73D8"/>
    <w:rsid w:val="008D0533"/>
    <w:rsid w:val="008D064A"/>
    <w:rsid w:val="008D14F8"/>
    <w:rsid w:val="008D1634"/>
    <w:rsid w:val="008D1E91"/>
    <w:rsid w:val="008D2B0F"/>
    <w:rsid w:val="008D2CDB"/>
    <w:rsid w:val="008D31EF"/>
    <w:rsid w:val="008D4699"/>
    <w:rsid w:val="008E0F44"/>
    <w:rsid w:val="008E230D"/>
    <w:rsid w:val="008E449E"/>
    <w:rsid w:val="008E4BDD"/>
    <w:rsid w:val="008E52FB"/>
    <w:rsid w:val="008E721B"/>
    <w:rsid w:val="008E770C"/>
    <w:rsid w:val="008F187F"/>
    <w:rsid w:val="008F190B"/>
    <w:rsid w:val="008F39F1"/>
    <w:rsid w:val="008F402F"/>
    <w:rsid w:val="008F76E8"/>
    <w:rsid w:val="00906D34"/>
    <w:rsid w:val="009078A1"/>
    <w:rsid w:val="00910021"/>
    <w:rsid w:val="00911E9C"/>
    <w:rsid w:val="0091318E"/>
    <w:rsid w:val="00915928"/>
    <w:rsid w:val="00917405"/>
    <w:rsid w:val="00920F7C"/>
    <w:rsid w:val="00922BEE"/>
    <w:rsid w:val="00924743"/>
    <w:rsid w:val="00930CAC"/>
    <w:rsid w:val="00932CCC"/>
    <w:rsid w:val="00933174"/>
    <w:rsid w:val="009331C0"/>
    <w:rsid w:val="00934CAE"/>
    <w:rsid w:val="00940C9A"/>
    <w:rsid w:val="0094257D"/>
    <w:rsid w:val="00945B58"/>
    <w:rsid w:val="009515C6"/>
    <w:rsid w:val="00953383"/>
    <w:rsid w:val="0095467C"/>
    <w:rsid w:val="00954A61"/>
    <w:rsid w:val="00955C6F"/>
    <w:rsid w:val="00962F79"/>
    <w:rsid w:val="00966C7B"/>
    <w:rsid w:val="009701DC"/>
    <w:rsid w:val="009715D8"/>
    <w:rsid w:val="00976129"/>
    <w:rsid w:val="0097738C"/>
    <w:rsid w:val="009775B8"/>
    <w:rsid w:val="009811A8"/>
    <w:rsid w:val="00982001"/>
    <w:rsid w:val="00985686"/>
    <w:rsid w:val="00985A4E"/>
    <w:rsid w:val="0098659E"/>
    <w:rsid w:val="00992894"/>
    <w:rsid w:val="00995BF9"/>
    <w:rsid w:val="009A0CAF"/>
    <w:rsid w:val="009A0E49"/>
    <w:rsid w:val="009A1328"/>
    <w:rsid w:val="009A2207"/>
    <w:rsid w:val="009A30F2"/>
    <w:rsid w:val="009A5974"/>
    <w:rsid w:val="009A6FC2"/>
    <w:rsid w:val="009B0C21"/>
    <w:rsid w:val="009B0EDA"/>
    <w:rsid w:val="009B36A8"/>
    <w:rsid w:val="009B41AC"/>
    <w:rsid w:val="009B6C42"/>
    <w:rsid w:val="009D04E8"/>
    <w:rsid w:val="009D2998"/>
    <w:rsid w:val="009D31F7"/>
    <w:rsid w:val="009D32C2"/>
    <w:rsid w:val="009D50DB"/>
    <w:rsid w:val="009D67C5"/>
    <w:rsid w:val="009E0B5F"/>
    <w:rsid w:val="009E2932"/>
    <w:rsid w:val="009E3A0A"/>
    <w:rsid w:val="009E52E6"/>
    <w:rsid w:val="009E69E5"/>
    <w:rsid w:val="009F3E91"/>
    <w:rsid w:val="009F512C"/>
    <w:rsid w:val="00A008DA"/>
    <w:rsid w:val="00A0571E"/>
    <w:rsid w:val="00A07B0C"/>
    <w:rsid w:val="00A11EA9"/>
    <w:rsid w:val="00A1499B"/>
    <w:rsid w:val="00A1779A"/>
    <w:rsid w:val="00A17CCF"/>
    <w:rsid w:val="00A20CD3"/>
    <w:rsid w:val="00A23490"/>
    <w:rsid w:val="00A2524E"/>
    <w:rsid w:val="00A30A1B"/>
    <w:rsid w:val="00A314C2"/>
    <w:rsid w:val="00A376BE"/>
    <w:rsid w:val="00A44323"/>
    <w:rsid w:val="00A44B4E"/>
    <w:rsid w:val="00A44E82"/>
    <w:rsid w:val="00A450E8"/>
    <w:rsid w:val="00A519A0"/>
    <w:rsid w:val="00A519E3"/>
    <w:rsid w:val="00A52191"/>
    <w:rsid w:val="00A5489C"/>
    <w:rsid w:val="00A55310"/>
    <w:rsid w:val="00A5552E"/>
    <w:rsid w:val="00A6109F"/>
    <w:rsid w:val="00A62A2E"/>
    <w:rsid w:val="00A63E86"/>
    <w:rsid w:val="00A71C73"/>
    <w:rsid w:val="00A7308E"/>
    <w:rsid w:val="00A738D0"/>
    <w:rsid w:val="00A757C3"/>
    <w:rsid w:val="00A75E5B"/>
    <w:rsid w:val="00A7684A"/>
    <w:rsid w:val="00A82316"/>
    <w:rsid w:val="00A82369"/>
    <w:rsid w:val="00A8325F"/>
    <w:rsid w:val="00A83527"/>
    <w:rsid w:val="00A83B69"/>
    <w:rsid w:val="00A86533"/>
    <w:rsid w:val="00A90C1C"/>
    <w:rsid w:val="00A91CA2"/>
    <w:rsid w:val="00A92FB8"/>
    <w:rsid w:val="00A932EE"/>
    <w:rsid w:val="00A93A70"/>
    <w:rsid w:val="00A948F1"/>
    <w:rsid w:val="00A94CFC"/>
    <w:rsid w:val="00AA18F9"/>
    <w:rsid w:val="00AA1D7D"/>
    <w:rsid w:val="00AA2790"/>
    <w:rsid w:val="00AA3806"/>
    <w:rsid w:val="00AA7414"/>
    <w:rsid w:val="00AB139D"/>
    <w:rsid w:val="00AB2D05"/>
    <w:rsid w:val="00AB30E6"/>
    <w:rsid w:val="00AB3EFB"/>
    <w:rsid w:val="00AB4025"/>
    <w:rsid w:val="00AB4086"/>
    <w:rsid w:val="00AB67F5"/>
    <w:rsid w:val="00AC0B05"/>
    <w:rsid w:val="00AC113A"/>
    <w:rsid w:val="00AC7F9D"/>
    <w:rsid w:val="00AD079A"/>
    <w:rsid w:val="00AD1890"/>
    <w:rsid w:val="00AD19AC"/>
    <w:rsid w:val="00AD30C3"/>
    <w:rsid w:val="00AD4A6B"/>
    <w:rsid w:val="00AD702A"/>
    <w:rsid w:val="00AE2149"/>
    <w:rsid w:val="00AE33AE"/>
    <w:rsid w:val="00AE3F91"/>
    <w:rsid w:val="00AE7A8E"/>
    <w:rsid w:val="00AF2024"/>
    <w:rsid w:val="00B0053D"/>
    <w:rsid w:val="00B039E3"/>
    <w:rsid w:val="00B05D44"/>
    <w:rsid w:val="00B067B4"/>
    <w:rsid w:val="00B06D36"/>
    <w:rsid w:val="00B12BC4"/>
    <w:rsid w:val="00B14DBC"/>
    <w:rsid w:val="00B16839"/>
    <w:rsid w:val="00B21E65"/>
    <w:rsid w:val="00B22838"/>
    <w:rsid w:val="00B23B5C"/>
    <w:rsid w:val="00B30961"/>
    <w:rsid w:val="00B311CE"/>
    <w:rsid w:val="00B32B8B"/>
    <w:rsid w:val="00B33E95"/>
    <w:rsid w:val="00B35388"/>
    <w:rsid w:val="00B3720B"/>
    <w:rsid w:val="00B4325A"/>
    <w:rsid w:val="00B440E8"/>
    <w:rsid w:val="00B4477D"/>
    <w:rsid w:val="00B45D0B"/>
    <w:rsid w:val="00B53CE3"/>
    <w:rsid w:val="00B5558A"/>
    <w:rsid w:val="00B56513"/>
    <w:rsid w:val="00B64376"/>
    <w:rsid w:val="00B6570C"/>
    <w:rsid w:val="00B7401F"/>
    <w:rsid w:val="00B769CF"/>
    <w:rsid w:val="00B806C3"/>
    <w:rsid w:val="00B80D6F"/>
    <w:rsid w:val="00B84FCA"/>
    <w:rsid w:val="00B85693"/>
    <w:rsid w:val="00B9089F"/>
    <w:rsid w:val="00B91826"/>
    <w:rsid w:val="00B91AEE"/>
    <w:rsid w:val="00B93AA1"/>
    <w:rsid w:val="00B9533F"/>
    <w:rsid w:val="00B95744"/>
    <w:rsid w:val="00B95F5A"/>
    <w:rsid w:val="00B96EAD"/>
    <w:rsid w:val="00BA57FF"/>
    <w:rsid w:val="00BA5A03"/>
    <w:rsid w:val="00BA79F5"/>
    <w:rsid w:val="00BB1747"/>
    <w:rsid w:val="00BB276E"/>
    <w:rsid w:val="00BB3AB6"/>
    <w:rsid w:val="00BB766D"/>
    <w:rsid w:val="00BC007B"/>
    <w:rsid w:val="00BC0E52"/>
    <w:rsid w:val="00BC26BA"/>
    <w:rsid w:val="00BC35F8"/>
    <w:rsid w:val="00BC481B"/>
    <w:rsid w:val="00BC5A58"/>
    <w:rsid w:val="00BC77BE"/>
    <w:rsid w:val="00BD1191"/>
    <w:rsid w:val="00BD2771"/>
    <w:rsid w:val="00BD4CC5"/>
    <w:rsid w:val="00BD617C"/>
    <w:rsid w:val="00BE2F3F"/>
    <w:rsid w:val="00BF0D93"/>
    <w:rsid w:val="00BF376F"/>
    <w:rsid w:val="00BF46A6"/>
    <w:rsid w:val="00BF5454"/>
    <w:rsid w:val="00BF68CC"/>
    <w:rsid w:val="00BF71FB"/>
    <w:rsid w:val="00C0130E"/>
    <w:rsid w:val="00C04CFF"/>
    <w:rsid w:val="00C06545"/>
    <w:rsid w:val="00C10D50"/>
    <w:rsid w:val="00C134AF"/>
    <w:rsid w:val="00C158C1"/>
    <w:rsid w:val="00C168C3"/>
    <w:rsid w:val="00C220FC"/>
    <w:rsid w:val="00C23458"/>
    <w:rsid w:val="00C2374F"/>
    <w:rsid w:val="00C24DFA"/>
    <w:rsid w:val="00C24F9D"/>
    <w:rsid w:val="00C26845"/>
    <w:rsid w:val="00C30182"/>
    <w:rsid w:val="00C31B8E"/>
    <w:rsid w:val="00C31FC9"/>
    <w:rsid w:val="00C37A63"/>
    <w:rsid w:val="00C44411"/>
    <w:rsid w:val="00C46A36"/>
    <w:rsid w:val="00C47037"/>
    <w:rsid w:val="00C533B3"/>
    <w:rsid w:val="00C53625"/>
    <w:rsid w:val="00C53E9F"/>
    <w:rsid w:val="00C548BA"/>
    <w:rsid w:val="00C57784"/>
    <w:rsid w:val="00C602C1"/>
    <w:rsid w:val="00C60F5F"/>
    <w:rsid w:val="00C612FA"/>
    <w:rsid w:val="00C62CC7"/>
    <w:rsid w:val="00C63FC0"/>
    <w:rsid w:val="00C66392"/>
    <w:rsid w:val="00C67780"/>
    <w:rsid w:val="00C73D09"/>
    <w:rsid w:val="00C744F8"/>
    <w:rsid w:val="00C74C5E"/>
    <w:rsid w:val="00C75ECA"/>
    <w:rsid w:val="00C76CB5"/>
    <w:rsid w:val="00C82558"/>
    <w:rsid w:val="00C827A2"/>
    <w:rsid w:val="00C82B69"/>
    <w:rsid w:val="00C82CB3"/>
    <w:rsid w:val="00C86ACC"/>
    <w:rsid w:val="00C86E29"/>
    <w:rsid w:val="00C91B28"/>
    <w:rsid w:val="00C91F3A"/>
    <w:rsid w:val="00C93590"/>
    <w:rsid w:val="00C97021"/>
    <w:rsid w:val="00C971F8"/>
    <w:rsid w:val="00CA5446"/>
    <w:rsid w:val="00CB12E8"/>
    <w:rsid w:val="00CB1AC7"/>
    <w:rsid w:val="00CB218D"/>
    <w:rsid w:val="00CB3C63"/>
    <w:rsid w:val="00CB5625"/>
    <w:rsid w:val="00CB5797"/>
    <w:rsid w:val="00CC018F"/>
    <w:rsid w:val="00CC10FE"/>
    <w:rsid w:val="00CC1C17"/>
    <w:rsid w:val="00CC4F7F"/>
    <w:rsid w:val="00CD09E1"/>
    <w:rsid w:val="00CD1BB8"/>
    <w:rsid w:val="00CD4881"/>
    <w:rsid w:val="00CD74CC"/>
    <w:rsid w:val="00CE0F30"/>
    <w:rsid w:val="00CE1780"/>
    <w:rsid w:val="00CE4913"/>
    <w:rsid w:val="00CE66BD"/>
    <w:rsid w:val="00CF0671"/>
    <w:rsid w:val="00CF1033"/>
    <w:rsid w:val="00CF247A"/>
    <w:rsid w:val="00CF3997"/>
    <w:rsid w:val="00CF44AD"/>
    <w:rsid w:val="00CF4FC0"/>
    <w:rsid w:val="00CF7265"/>
    <w:rsid w:val="00D00ABE"/>
    <w:rsid w:val="00D03050"/>
    <w:rsid w:val="00D1072F"/>
    <w:rsid w:val="00D108A5"/>
    <w:rsid w:val="00D10BC8"/>
    <w:rsid w:val="00D10F57"/>
    <w:rsid w:val="00D14585"/>
    <w:rsid w:val="00D20EFF"/>
    <w:rsid w:val="00D215C3"/>
    <w:rsid w:val="00D24DE1"/>
    <w:rsid w:val="00D2551E"/>
    <w:rsid w:val="00D31324"/>
    <w:rsid w:val="00D36A05"/>
    <w:rsid w:val="00D36A58"/>
    <w:rsid w:val="00D42B44"/>
    <w:rsid w:val="00D53ED8"/>
    <w:rsid w:val="00D56A4E"/>
    <w:rsid w:val="00D604AC"/>
    <w:rsid w:val="00D612E3"/>
    <w:rsid w:val="00D6132D"/>
    <w:rsid w:val="00D64857"/>
    <w:rsid w:val="00D6493A"/>
    <w:rsid w:val="00D649A5"/>
    <w:rsid w:val="00D64E6E"/>
    <w:rsid w:val="00D650FA"/>
    <w:rsid w:val="00D66AEE"/>
    <w:rsid w:val="00D67875"/>
    <w:rsid w:val="00D719B9"/>
    <w:rsid w:val="00D71A2E"/>
    <w:rsid w:val="00D71E86"/>
    <w:rsid w:val="00D731C6"/>
    <w:rsid w:val="00D73F61"/>
    <w:rsid w:val="00D745C5"/>
    <w:rsid w:val="00D75327"/>
    <w:rsid w:val="00D76831"/>
    <w:rsid w:val="00D77CD1"/>
    <w:rsid w:val="00D80BD1"/>
    <w:rsid w:val="00D80C36"/>
    <w:rsid w:val="00D81A32"/>
    <w:rsid w:val="00D86EE1"/>
    <w:rsid w:val="00D95205"/>
    <w:rsid w:val="00D95E90"/>
    <w:rsid w:val="00D96126"/>
    <w:rsid w:val="00D9667B"/>
    <w:rsid w:val="00DA2AC4"/>
    <w:rsid w:val="00DA2FD5"/>
    <w:rsid w:val="00DA74C2"/>
    <w:rsid w:val="00DB4B1C"/>
    <w:rsid w:val="00DB5085"/>
    <w:rsid w:val="00DB619F"/>
    <w:rsid w:val="00DC1062"/>
    <w:rsid w:val="00DC132C"/>
    <w:rsid w:val="00DC2A70"/>
    <w:rsid w:val="00DC2B3A"/>
    <w:rsid w:val="00DD1523"/>
    <w:rsid w:val="00DD4191"/>
    <w:rsid w:val="00DD43F0"/>
    <w:rsid w:val="00DD44DE"/>
    <w:rsid w:val="00DE09AB"/>
    <w:rsid w:val="00DE4A3F"/>
    <w:rsid w:val="00DE5A99"/>
    <w:rsid w:val="00DF3881"/>
    <w:rsid w:val="00DF4367"/>
    <w:rsid w:val="00DF7291"/>
    <w:rsid w:val="00DF74E5"/>
    <w:rsid w:val="00E0574A"/>
    <w:rsid w:val="00E05D9D"/>
    <w:rsid w:val="00E1243D"/>
    <w:rsid w:val="00E12742"/>
    <w:rsid w:val="00E146D4"/>
    <w:rsid w:val="00E21D37"/>
    <w:rsid w:val="00E220ED"/>
    <w:rsid w:val="00E22B44"/>
    <w:rsid w:val="00E24F20"/>
    <w:rsid w:val="00E253AA"/>
    <w:rsid w:val="00E3073F"/>
    <w:rsid w:val="00E30ACD"/>
    <w:rsid w:val="00E32735"/>
    <w:rsid w:val="00E36122"/>
    <w:rsid w:val="00E44431"/>
    <w:rsid w:val="00E44B88"/>
    <w:rsid w:val="00E44F84"/>
    <w:rsid w:val="00E45809"/>
    <w:rsid w:val="00E65096"/>
    <w:rsid w:val="00E66E36"/>
    <w:rsid w:val="00E702ED"/>
    <w:rsid w:val="00E709A4"/>
    <w:rsid w:val="00E712FE"/>
    <w:rsid w:val="00E772DB"/>
    <w:rsid w:val="00E81367"/>
    <w:rsid w:val="00E8185F"/>
    <w:rsid w:val="00E82A45"/>
    <w:rsid w:val="00E86012"/>
    <w:rsid w:val="00E86BAB"/>
    <w:rsid w:val="00E94E10"/>
    <w:rsid w:val="00E95140"/>
    <w:rsid w:val="00E96743"/>
    <w:rsid w:val="00E96A42"/>
    <w:rsid w:val="00EA49C5"/>
    <w:rsid w:val="00EA4DC8"/>
    <w:rsid w:val="00EA5820"/>
    <w:rsid w:val="00EA6279"/>
    <w:rsid w:val="00EA6C41"/>
    <w:rsid w:val="00EA6D75"/>
    <w:rsid w:val="00EB3574"/>
    <w:rsid w:val="00EB3D66"/>
    <w:rsid w:val="00EB5027"/>
    <w:rsid w:val="00EB75F6"/>
    <w:rsid w:val="00EC1836"/>
    <w:rsid w:val="00EC38F9"/>
    <w:rsid w:val="00EC3990"/>
    <w:rsid w:val="00EC484B"/>
    <w:rsid w:val="00EC7E58"/>
    <w:rsid w:val="00ED0A58"/>
    <w:rsid w:val="00ED15FA"/>
    <w:rsid w:val="00ED27E8"/>
    <w:rsid w:val="00ED5C9F"/>
    <w:rsid w:val="00EE3AFB"/>
    <w:rsid w:val="00EE6E9A"/>
    <w:rsid w:val="00EE7DA5"/>
    <w:rsid w:val="00EF2AC4"/>
    <w:rsid w:val="00EF397E"/>
    <w:rsid w:val="00EF41CD"/>
    <w:rsid w:val="00EF51CE"/>
    <w:rsid w:val="00F05AE9"/>
    <w:rsid w:val="00F05D6D"/>
    <w:rsid w:val="00F06F68"/>
    <w:rsid w:val="00F12EF5"/>
    <w:rsid w:val="00F14C5F"/>
    <w:rsid w:val="00F15E9D"/>
    <w:rsid w:val="00F24C2D"/>
    <w:rsid w:val="00F252C3"/>
    <w:rsid w:val="00F25584"/>
    <w:rsid w:val="00F27D59"/>
    <w:rsid w:val="00F27F7F"/>
    <w:rsid w:val="00F302B9"/>
    <w:rsid w:val="00F30421"/>
    <w:rsid w:val="00F329BF"/>
    <w:rsid w:val="00F32A81"/>
    <w:rsid w:val="00F35583"/>
    <w:rsid w:val="00F362C3"/>
    <w:rsid w:val="00F37E20"/>
    <w:rsid w:val="00F40C82"/>
    <w:rsid w:val="00F4197F"/>
    <w:rsid w:val="00F45DFF"/>
    <w:rsid w:val="00F46998"/>
    <w:rsid w:val="00F5382D"/>
    <w:rsid w:val="00F53D9C"/>
    <w:rsid w:val="00F5462B"/>
    <w:rsid w:val="00F57205"/>
    <w:rsid w:val="00F61386"/>
    <w:rsid w:val="00F634AD"/>
    <w:rsid w:val="00F63677"/>
    <w:rsid w:val="00F66396"/>
    <w:rsid w:val="00F757A7"/>
    <w:rsid w:val="00F75B81"/>
    <w:rsid w:val="00F77CF8"/>
    <w:rsid w:val="00F804C4"/>
    <w:rsid w:val="00F80C7E"/>
    <w:rsid w:val="00F82F83"/>
    <w:rsid w:val="00F835AE"/>
    <w:rsid w:val="00F836A4"/>
    <w:rsid w:val="00F84506"/>
    <w:rsid w:val="00F873AC"/>
    <w:rsid w:val="00F90C64"/>
    <w:rsid w:val="00F92B30"/>
    <w:rsid w:val="00F933B9"/>
    <w:rsid w:val="00F94674"/>
    <w:rsid w:val="00F94919"/>
    <w:rsid w:val="00F94A59"/>
    <w:rsid w:val="00FA25B6"/>
    <w:rsid w:val="00FA2FAF"/>
    <w:rsid w:val="00FA54F6"/>
    <w:rsid w:val="00FA5E94"/>
    <w:rsid w:val="00FA64B1"/>
    <w:rsid w:val="00FA70F3"/>
    <w:rsid w:val="00FA71CD"/>
    <w:rsid w:val="00FB0453"/>
    <w:rsid w:val="00FB0C07"/>
    <w:rsid w:val="00FB298D"/>
    <w:rsid w:val="00FC1439"/>
    <w:rsid w:val="00FC3F65"/>
    <w:rsid w:val="00FC71DA"/>
    <w:rsid w:val="00FC724B"/>
    <w:rsid w:val="00FC7668"/>
    <w:rsid w:val="00FC7910"/>
    <w:rsid w:val="00FD01E0"/>
    <w:rsid w:val="00FE1627"/>
    <w:rsid w:val="00FE1DF9"/>
    <w:rsid w:val="00FE6770"/>
    <w:rsid w:val="00FE7E42"/>
    <w:rsid w:val="00FF092F"/>
    <w:rsid w:val="00FF0DA7"/>
    <w:rsid w:val="00FF44E0"/>
    <w:rsid w:val="00FF5928"/>
    <w:rsid w:val="00FF6C72"/>
    <w:rsid w:val="02A353E1"/>
    <w:rsid w:val="038E5244"/>
    <w:rsid w:val="072715B4"/>
    <w:rsid w:val="0E536488"/>
    <w:rsid w:val="12E143BF"/>
    <w:rsid w:val="153E6DFE"/>
    <w:rsid w:val="17C67924"/>
    <w:rsid w:val="17DF37C1"/>
    <w:rsid w:val="1A0C526C"/>
    <w:rsid w:val="1B5A57C5"/>
    <w:rsid w:val="1B88138D"/>
    <w:rsid w:val="1C235CFC"/>
    <w:rsid w:val="1C393474"/>
    <w:rsid w:val="1C626D9C"/>
    <w:rsid w:val="1E9F63B6"/>
    <w:rsid w:val="1EAC20AB"/>
    <w:rsid w:val="1F8F0033"/>
    <w:rsid w:val="20270F45"/>
    <w:rsid w:val="20C41A43"/>
    <w:rsid w:val="21464D54"/>
    <w:rsid w:val="21492215"/>
    <w:rsid w:val="2186466B"/>
    <w:rsid w:val="21893DCC"/>
    <w:rsid w:val="245F19BC"/>
    <w:rsid w:val="25856C36"/>
    <w:rsid w:val="26AD38E3"/>
    <w:rsid w:val="278C1EB7"/>
    <w:rsid w:val="27D02908"/>
    <w:rsid w:val="27D556DF"/>
    <w:rsid w:val="289A6ADC"/>
    <w:rsid w:val="28A300A0"/>
    <w:rsid w:val="2B386221"/>
    <w:rsid w:val="2B4754FB"/>
    <w:rsid w:val="2BA518E1"/>
    <w:rsid w:val="2BB04FEA"/>
    <w:rsid w:val="2D7E65A2"/>
    <w:rsid w:val="2F4763D4"/>
    <w:rsid w:val="2F84180C"/>
    <w:rsid w:val="2FA26A13"/>
    <w:rsid w:val="2FC54BC7"/>
    <w:rsid w:val="30F074D3"/>
    <w:rsid w:val="3249090A"/>
    <w:rsid w:val="33F079B3"/>
    <w:rsid w:val="34E4777F"/>
    <w:rsid w:val="358402B9"/>
    <w:rsid w:val="35B93273"/>
    <w:rsid w:val="35C65D6C"/>
    <w:rsid w:val="36B203D9"/>
    <w:rsid w:val="36C2526A"/>
    <w:rsid w:val="37DE2CC7"/>
    <w:rsid w:val="38572D0C"/>
    <w:rsid w:val="39196525"/>
    <w:rsid w:val="3A1424A1"/>
    <w:rsid w:val="3AC968B1"/>
    <w:rsid w:val="3B394AEE"/>
    <w:rsid w:val="3B6D0F4A"/>
    <w:rsid w:val="3BC93ECF"/>
    <w:rsid w:val="3C0019A1"/>
    <w:rsid w:val="3C7056CD"/>
    <w:rsid w:val="3E243139"/>
    <w:rsid w:val="3EDC7871"/>
    <w:rsid w:val="400C02B7"/>
    <w:rsid w:val="44AA183B"/>
    <w:rsid w:val="44E3011D"/>
    <w:rsid w:val="4759349C"/>
    <w:rsid w:val="49FD5D9F"/>
    <w:rsid w:val="4A176DCD"/>
    <w:rsid w:val="4C6729B1"/>
    <w:rsid w:val="4D7673A4"/>
    <w:rsid w:val="4F2C259D"/>
    <w:rsid w:val="522E6293"/>
    <w:rsid w:val="535B5A45"/>
    <w:rsid w:val="55380614"/>
    <w:rsid w:val="57B057AC"/>
    <w:rsid w:val="59B15C5C"/>
    <w:rsid w:val="5CE96606"/>
    <w:rsid w:val="5E5977C7"/>
    <w:rsid w:val="5EA61E00"/>
    <w:rsid w:val="616217DC"/>
    <w:rsid w:val="62F83BF9"/>
    <w:rsid w:val="639E1C8C"/>
    <w:rsid w:val="64AB130C"/>
    <w:rsid w:val="650A6CFE"/>
    <w:rsid w:val="66E3417D"/>
    <w:rsid w:val="679F5524"/>
    <w:rsid w:val="67AE2B2E"/>
    <w:rsid w:val="67AE7F51"/>
    <w:rsid w:val="69CB177C"/>
    <w:rsid w:val="6B5E25C8"/>
    <w:rsid w:val="6C00333F"/>
    <w:rsid w:val="6CA65B71"/>
    <w:rsid w:val="6E2E1D2B"/>
    <w:rsid w:val="6EE51997"/>
    <w:rsid w:val="6F764C1C"/>
    <w:rsid w:val="704762AF"/>
    <w:rsid w:val="72817D52"/>
    <w:rsid w:val="742A2407"/>
    <w:rsid w:val="753624A5"/>
    <w:rsid w:val="757F04DE"/>
    <w:rsid w:val="760F5D0D"/>
    <w:rsid w:val="78047581"/>
    <w:rsid w:val="795A1163"/>
    <w:rsid w:val="79B76C11"/>
    <w:rsid w:val="79EE2FB2"/>
    <w:rsid w:val="7B046B8E"/>
    <w:rsid w:val="7CBA6668"/>
    <w:rsid w:val="7F09092F"/>
    <w:rsid w:val="7F3E3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4">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qFormat/>
    <w:uiPriority w:val="0"/>
    <w:pPr>
      <w:keepNext/>
      <w:keepLines/>
      <w:spacing w:before="280" w:after="290" w:line="376" w:lineRule="auto"/>
      <w:outlineLvl w:val="3"/>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0"/>
    <w:qFormat/>
    <w:uiPriority w:val="0"/>
    <w:pPr>
      <w:spacing w:after="120"/>
    </w:pPr>
    <w:rPr>
      <w:rFonts w:ascii="@微软简标宋" w:hAnsi="@微软简标宋" w:eastAsia="@微软简标宋" w:cs="@微软简标宋"/>
      <w:szCs w:val="24"/>
      <w:lang w:val="zh-CN"/>
    </w:rPr>
  </w:style>
  <w:style w:type="paragraph" w:styleId="6">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7">
    <w:name w:val="annotation text"/>
    <w:basedOn w:val="1"/>
    <w:link w:val="41"/>
    <w:qFormat/>
    <w:uiPriority w:val="0"/>
    <w:pPr>
      <w:jc w:val="left"/>
    </w:pPr>
    <w:rPr>
      <w:rFonts w:ascii="Arial" w:hAnsi="Arial" w:eastAsia="黑体" w:cs="Arial"/>
    </w:rPr>
  </w:style>
  <w:style w:type="paragraph" w:styleId="8">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9">
    <w:name w:val="Plain Text"/>
    <w:basedOn w:val="1"/>
    <w:link w:val="30"/>
    <w:qFormat/>
    <w:uiPriority w:val="99"/>
    <w:rPr>
      <w:rFonts w:ascii="宋体" w:hAnsi="Courier New" w:eastAsiaTheme="minorEastAsia" w:cstheme="minorBidi"/>
      <w:szCs w:val="22"/>
    </w:rPr>
  </w:style>
  <w:style w:type="paragraph" w:styleId="10">
    <w:name w:val="Date"/>
    <w:basedOn w:val="1"/>
    <w:next w:val="1"/>
    <w:link w:val="37"/>
    <w:qFormat/>
    <w:uiPriority w:val="0"/>
    <w:rPr>
      <w:rFonts w:ascii="Arial" w:hAnsi="Arial" w:eastAsia="宋体" w:cs="Arial"/>
      <w:b/>
      <w:sz w:val="28"/>
    </w:rPr>
  </w:style>
  <w:style w:type="paragraph" w:styleId="11">
    <w:name w:val="Balloon Text"/>
    <w:basedOn w:val="1"/>
    <w:link w:val="24"/>
    <w:semiHidden/>
    <w:unhideWhenUsed/>
    <w:qFormat/>
    <w:uiPriority w:val="99"/>
    <w:rPr>
      <w:sz w:val="18"/>
      <w:szCs w:val="18"/>
    </w:r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qFormat/>
    <w:uiPriority w:val="0"/>
    <w:pPr>
      <w:spacing w:before="100" w:beforeAutospacing="1" w:after="100" w:afterAutospacing="1"/>
      <w:jc w:val="left"/>
    </w:pPr>
    <w:rPr>
      <w:rFonts w:cs="Times New Roman"/>
      <w:kern w:val="0"/>
      <w:sz w:val="24"/>
    </w:rPr>
  </w:style>
  <w:style w:type="paragraph" w:styleId="17">
    <w:name w:val="index 1"/>
    <w:basedOn w:val="1"/>
    <w:next w:val="1"/>
    <w:qFormat/>
    <w:uiPriority w:val="0"/>
    <w:pPr>
      <w:jc w:val="center"/>
    </w:pPr>
    <w:rPr>
      <w:rFonts w:ascii="Arial" w:hAnsi="Arial" w:eastAsia="Arial" w:cs="Arial"/>
      <w:b/>
      <w:bCs/>
      <w:sz w:val="28"/>
    </w:rPr>
  </w:style>
  <w:style w:type="paragraph" w:styleId="18">
    <w:name w:val="Body Text First Indent"/>
    <w:basedOn w:val="2"/>
    <w:unhideWhenUsed/>
    <w:qFormat/>
    <w:uiPriority w:val="99"/>
    <w:pPr>
      <w:ind w:firstLine="420" w:firstLineChars="100"/>
    </w:pPr>
  </w:style>
  <w:style w:type="table" w:styleId="20">
    <w:name w:val="Table Grid"/>
    <w:basedOn w:val="19"/>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customStyle="1" w:styleId="24">
    <w:name w:val="批注框文本 Char"/>
    <w:basedOn w:val="21"/>
    <w:link w:val="11"/>
    <w:semiHidden/>
    <w:qFormat/>
    <w:uiPriority w:val="99"/>
    <w:rPr>
      <w:rFonts w:ascii="@仿宋_GB2312" w:hAnsi="@仿宋_GB2312" w:eastAsia="@仿宋_GB2312" w:cs="@仿宋_GB2312"/>
      <w:sz w:val="18"/>
      <w:szCs w:val="18"/>
    </w:rPr>
  </w:style>
  <w:style w:type="paragraph" w:customStyle="1" w:styleId="25">
    <w:name w:val="正文（缩进）"/>
    <w:basedOn w:val="1"/>
    <w:qFormat/>
    <w:uiPriority w:val="0"/>
    <w:pPr>
      <w:widowControl/>
      <w:spacing w:before="156" w:after="156"/>
      <w:ind w:firstLine="480" w:firstLineChars="200"/>
      <w:jc w:val="left"/>
    </w:pPr>
    <w:rPr>
      <w:kern w:val="0"/>
      <w:sz w:val="24"/>
      <w:szCs w:val="24"/>
    </w:rPr>
  </w:style>
  <w:style w:type="paragraph" w:customStyle="1" w:styleId="26">
    <w:name w:val="xl31"/>
    <w:basedOn w:val="1"/>
    <w:qFormat/>
    <w:uiPriority w:val="0"/>
    <w:pPr>
      <w:widowControl/>
      <w:spacing w:before="100" w:beforeAutospacing="1" w:after="100" w:afterAutospacing="1"/>
      <w:jc w:val="center"/>
    </w:pPr>
    <w:rPr>
      <w:b/>
      <w:bCs/>
      <w:kern w:val="0"/>
      <w:sz w:val="28"/>
      <w:szCs w:val="28"/>
    </w:rPr>
  </w:style>
  <w:style w:type="paragraph" w:customStyle="1" w:styleId="27">
    <w:name w:val="D&amp;L"/>
    <w:basedOn w:val="13"/>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8">
    <w:name w:val="页眉 Char"/>
    <w:basedOn w:val="21"/>
    <w:link w:val="13"/>
    <w:qFormat/>
    <w:uiPriority w:val="0"/>
    <w:rPr>
      <w:rFonts w:ascii="@仿宋_GB2312" w:hAnsi="@仿宋_GB2312" w:eastAsia="@仿宋_GB2312" w:cs="@仿宋_GB2312"/>
      <w:sz w:val="18"/>
      <w:szCs w:val="18"/>
    </w:rPr>
  </w:style>
  <w:style w:type="character" w:customStyle="1" w:styleId="29">
    <w:name w:val="页脚 Char"/>
    <w:basedOn w:val="21"/>
    <w:link w:val="12"/>
    <w:qFormat/>
    <w:uiPriority w:val="99"/>
    <w:rPr>
      <w:rFonts w:ascii="@仿宋_GB2312" w:hAnsi="@仿宋_GB2312" w:eastAsia="@仿宋_GB2312" w:cs="@仿宋_GB2312"/>
      <w:sz w:val="18"/>
      <w:szCs w:val="18"/>
    </w:rPr>
  </w:style>
  <w:style w:type="character" w:customStyle="1" w:styleId="30">
    <w:name w:val="纯文本 Char"/>
    <w:link w:val="9"/>
    <w:qFormat/>
    <w:uiPriority w:val="0"/>
    <w:rPr>
      <w:rFonts w:ascii="宋体" w:hAnsi="Courier New"/>
    </w:rPr>
  </w:style>
  <w:style w:type="character" w:customStyle="1" w:styleId="31">
    <w:name w:val="纯文本 字符1"/>
    <w:basedOn w:val="21"/>
    <w:semiHidden/>
    <w:qFormat/>
    <w:uiPriority w:val="99"/>
    <w:rPr>
      <w:rFonts w:hAnsi="Courier New" w:cs="Courier New" w:asciiTheme="minorEastAsia"/>
      <w:szCs w:val="20"/>
    </w:rPr>
  </w:style>
  <w:style w:type="character" w:customStyle="1" w:styleId="32">
    <w:name w:val="未处理的提及1"/>
    <w:basedOn w:val="21"/>
    <w:semiHidden/>
    <w:unhideWhenUsed/>
    <w:qFormat/>
    <w:uiPriority w:val="99"/>
    <w:rPr>
      <w:color w:val="605E5C"/>
      <w:shd w:val="clear" w:color="auto" w:fill="E1DFDD"/>
    </w:rPr>
  </w:style>
  <w:style w:type="paragraph" w:styleId="33">
    <w:name w:val="List Paragraph"/>
    <w:basedOn w:val="1"/>
    <w:qFormat/>
    <w:uiPriority w:val="34"/>
    <w:pPr>
      <w:ind w:firstLine="420" w:firstLineChars="200"/>
    </w:pPr>
  </w:style>
  <w:style w:type="paragraph" w:customStyle="1" w:styleId="34">
    <w:name w:val="Char Char Char Char Char Char Char1 Char"/>
    <w:basedOn w:val="1"/>
    <w:qFormat/>
    <w:uiPriority w:val="0"/>
    <w:rPr>
      <w:rFonts w:ascii="Arial" w:hAnsi="Arial" w:eastAsia="宋体" w:cs="Arial"/>
      <w:sz w:val="24"/>
    </w:rPr>
  </w:style>
  <w:style w:type="table" w:customStyle="1" w:styleId="35">
    <w:name w:val="网格表 1 浅色1"/>
    <w:basedOn w:val="19"/>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6">
    <w:name w:val="日期 字符"/>
    <w:basedOn w:val="21"/>
    <w:semiHidden/>
    <w:qFormat/>
    <w:uiPriority w:val="99"/>
    <w:rPr>
      <w:rFonts w:ascii="@仿宋_GB2312" w:hAnsi="@仿宋_GB2312" w:eastAsia="@仿宋_GB2312" w:cs="@仿宋_GB2312"/>
      <w:szCs w:val="20"/>
    </w:rPr>
  </w:style>
  <w:style w:type="character" w:customStyle="1" w:styleId="37">
    <w:name w:val="日期 Char"/>
    <w:link w:val="10"/>
    <w:qFormat/>
    <w:uiPriority w:val="0"/>
    <w:rPr>
      <w:rFonts w:ascii="Arial" w:hAnsi="Arial" w:eastAsia="宋体" w:cs="Arial"/>
      <w:b/>
      <w:sz w:val="28"/>
      <w:szCs w:val="20"/>
    </w:rPr>
  </w:style>
  <w:style w:type="character" w:customStyle="1" w:styleId="38">
    <w:name w:val="纯文本 Char1"/>
    <w:link w:val="39"/>
    <w:qFormat/>
    <w:locked/>
    <w:uiPriority w:val="0"/>
    <w:rPr>
      <w:rFonts w:ascii="Arial" w:hAnsi="Arial" w:eastAsia="Arial"/>
      <w:kern w:val="2"/>
      <w:sz w:val="21"/>
      <w:lang w:val="en-US" w:eastAsia="zh-CN" w:bidi="ar-SA"/>
    </w:rPr>
  </w:style>
  <w:style w:type="paragraph" w:customStyle="1" w:styleId="39">
    <w:name w:val="纯文本1"/>
    <w:basedOn w:val="1"/>
    <w:link w:val="38"/>
    <w:qFormat/>
    <w:uiPriority w:val="0"/>
    <w:rPr>
      <w:rFonts w:ascii="Arial" w:hAnsi="Arial" w:eastAsia="Arial" w:cstheme="minorBidi"/>
    </w:rPr>
  </w:style>
  <w:style w:type="character" w:customStyle="1" w:styleId="40">
    <w:name w:val="批注文字 Char"/>
    <w:basedOn w:val="21"/>
    <w:semiHidden/>
    <w:qFormat/>
    <w:uiPriority w:val="99"/>
    <w:rPr>
      <w:rFonts w:ascii="@仿宋_GB2312" w:hAnsi="@仿宋_GB2312" w:eastAsia="@仿宋_GB2312" w:cs="@仿宋_GB2312"/>
      <w:szCs w:val="20"/>
    </w:rPr>
  </w:style>
  <w:style w:type="character" w:customStyle="1" w:styleId="41">
    <w:name w:val="批注文字 Char1"/>
    <w:link w:val="7"/>
    <w:qFormat/>
    <w:uiPriority w:val="0"/>
    <w:rPr>
      <w:rFonts w:ascii="Arial" w:hAnsi="Arial" w:eastAsia="黑体" w:cs="Arial"/>
      <w:szCs w:val="20"/>
    </w:rPr>
  </w:style>
  <w:style w:type="character" w:customStyle="1" w:styleId="42">
    <w:name w:val="标题 1 Char"/>
    <w:basedOn w:val="21"/>
    <w:link w:val="3"/>
    <w:qFormat/>
    <w:uiPriority w:val="9"/>
    <w:rPr>
      <w:rFonts w:ascii="@仿宋_GB2312" w:hAnsi="@仿宋_GB2312" w:eastAsia="@仿宋_GB2312" w:cs="@仿宋_GB2312"/>
      <w:b/>
      <w:bCs/>
      <w:kern w:val="44"/>
      <w:sz w:val="44"/>
      <w:szCs w:val="44"/>
    </w:rPr>
  </w:style>
  <w:style w:type="paragraph" w:customStyle="1" w:styleId="43">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4">
    <w:name w:val="标题 3 Char"/>
    <w:basedOn w:val="21"/>
    <w:link w:val="4"/>
    <w:semiHidden/>
    <w:qFormat/>
    <w:uiPriority w:val="9"/>
    <w:rPr>
      <w:rFonts w:ascii="@仿宋_GB2312" w:hAnsi="@仿宋_GB2312" w:eastAsia="@仿宋_GB2312" w:cs="@仿宋_GB2312"/>
      <w:b/>
      <w:bCs/>
      <w:sz w:val="32"/>
      <w:szCs w:val="32"/>
    </w:rPr>
  </w:style>
  <w:style w:type="character" w:customStyle="1" w:styleId="45">
    <w:name w:val="fontstyle01"/>
    <w:basedOn w:val="21"/>
    <w:qFormat/>
    <w:uiPriority w:val="0"/>
    <w:rPr>
      <w:rFonts w:hint="eastAsia" w:ascii="宋体" w:hAnsi="宋体" w:eastAsia="宋体"/>
      <w:color w:val="000000"/>
      <w:sz w:val="22"/>
      <w:szCs w:val="22"/>
    </w:rPr>
  </w:style>
  <w:style w:type="character" w:customStyle="1" w:styleId="46">
    <w:name w:val="fontstyle21"/>
    <w:basedOn w:val="21"/>
    <w:qFormat/>
    <w:uiPriority w:val="0"/>
    <w:rPr>
      <w:rFonts w:hint="default" w:ascii="TimesNewRomanPSMT" w:hAnsi="TimesNewRomanPSMT"/>
      <w:color w:val="000000"/>
      <w:sz w:val="22"/>
      <w:szCs w:val="22"/>
    </w:rPr>
  </w:style>
  <w:style w:type="character" w:customStyle="1" w:styleId="47">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48">
    <w:name w:val="标题 4 字符"/>
    <w:basedOn w:val="21"/>
    <w:semiHidden/>
    <w:qFormat/>
    <w:uiPriority w:val="9"/>
    <w:rPr>
      <w:rFonts w:asciiTheme="majorHAnsi" w:hAnsiTheme="majorHAnsi" w:eastAsiaTheme="majorEastAsia" w:cstheme="majorBidi"/>
      <w:b/>
      <w:bCs/>
      <w:sz w:val="28"/>
      <w:szCs w:val="28"/>
    </w:rPr>
  </w:style>
  <w:style w:type="character" w:customStyle="1" w:styleId="49">
    <w:name w:val="标题 4 Char"/>
    <w:link w:val="5"/>
    <w:qFormat/>
    <w:uiPriority w:val="0"/>
    <w:rPr>
      <w:rFonts w:ascii="@仿宋_GB2312" w:hAnsi="@仿宋_GB2312" w:eastAsia="@仿宋_GB2312" w:cs="@仿宋_GB2312"/>
      <w:b/>
      <w:bCs/>
      <w:sz w:val="28"/>
      <w:szCs w:val="28"/>
    </w:rPr>
  </w:style>
  <w:style w:type="character" w:customStyle="1" w:styleId="50">
    <w:name w:val="正文文本 Char"/>
    <w:basedOn w:val="21"/>
    <w:link w:val="2"/>
    <w:qFormat/>
    <w:uiPriority w:val="0"/>
    <w:rPr>
      <w:rFonts w:ascii="@微软简标宋" w:hAnsi="@微软简标宋" w:eastAsia="@微软简标宋" w:cs="@微软简标宋"/>
      <w:szCs w:val="24"/>
      <w:lang w:val="zh-CN" w:eastAsia="zh-CN"/>
    </w:rPr>
  </w:style>
  <w:style w:type="table" w:customStyle="1" w:styleId="51">
    <w:name w:val="Table Normal"/>
    <w:semiHidden/>
    <w:unhideWhenUsed/>
    <w:qFormat/>
    <w:uiPriority w:val="0"/>
    <w:tblPr>
      <w:tblCellMar>
        <w:top w:w="0" w:type="dxa"/>
        <w:left w:w="0" w:type="dxa"/>
        <w:bottom w:w="0" w:type="dxa"/>
        <w:right w:w="0" w:type="dxa"/>
      </w:tblCellMar>
    </w:tblPr>
  </w:style>
  <w:style w:type="paragraph" w:customStyle="1" w:styleId="5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AE9DD-6CAC-49B8-A987-8523A9411FE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60</Pages>
  <Words>25837</Words>
  <Characters>26852</Characters>
  <Lines>222</Lines>
  <Paragraphs>62</Paragraphs>
  <TotalTime>1</TotalTime>
  <ScaleCrop>false</ScaleCrop>
  <LinksUpToDate>false</LinksUpToDate>
  <CharactersWithSpaces>29388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2019-12-07T15:21:00Z</cp:lastPrinted>
  <dcterms:modified xsi:type="dcterms:W3CDTF">2024-03-13T07:29:31Z</dcterms:modified>
  <cp:revision>2888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25EFA31FA3D548EFB577499E32833EE0_12</vt:lpwstr>
  </property>
</Properties>
</file>